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Default Extension="emf" ContentType="image/emf"/>
  <Default Extension="bin" ContentType="application/vnd.openxmlformats-officedocument.oleObjec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comments.xml" ContentType="application/vnd.openxmlformats-officedocument.wordprocessingml.comment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spacing w:after="120"/>
        <w:rPr>
          <w:i/>
          <w:color w:val="0070C0"/>
          <w:sz w:val="22"/>
          <w:szCs w:val="32"/>
        </w:rPr>
      </w:pPr>
      <w:r>
        <w:rPr>
          <w:i/>
          <w:color w:val="0070C0"/>
          <w:sz w:val="22"/>
          <w:szCs w:val="32"/>
        </w:rPr>
        <w:t xml:space="preserve">Study </w:t>
      </w:r>
      <w:r>
        <w:rPr>
          <w:i/>
          <w:color w:val="0070C0"/>
          <w:sz w:val="22"/>
          <w:szCs w:val="32"/>
        </w:rPr>
        <w:t xml:space="preserve">Summary </w:t>
      </w:r>
      <w:r>
        <w:rPr>
          <w:i/>
          <w:color w:val="0070C0"/>
          <w:sz w:val="22"/>
          <w:szCs w:val="32"/>
        </w:rPr>
        <w:t>Article</w:t>
      </w:r>
    </w:p>
    <w:p>
      <w:pPr>
        <w:jc w:val="center"/>
        <w:rPr>
          <w:color w:val="000000"/>
          <w:sz w:val="32"/>
          <w:szCs w:val="32"/>
        </w:rPr>
      </w:pPr>
      <w:r>
        <w:rPr>
          <w:color w:val="000000"/>
          <w:sz w:val="32"/>
          <w:szCs w:val="32"/>
        </w:rPr>
        <w:t xml:space="preserve">Efficacy of the </w:t>
      </w:r>
      <w:r>
        <w:rPr>
          <w:color w:val="000000"/>
          <w:sz w:val="32"/>
          <w:szCs w:val="32"/>
        </w:rPr>
        <w:t>VKPro</w:t>
      </w:r>
      <w:r>
        <w:rPr>
          <w:color w:val="000000"/>
          <w:sz w:val="32"/>
          <w:szCs w:val="32"/>
        </w:rPr>
        <w:t xml:space="preserve"> </w:t>
      </w:r>
      <w:r>
        <w:rPr>
          <w:color w:val="000000"/>
          <w:sz w:val="32"/>
          <w:szCs w:val="32"/>
        </w:rPr>
        <w:t>S</w:t>
      </w:r>
      <w:r>
        <w:rPr>
          <w:color w:val="000000"/>
          <w:sz w:val="32"/>
          <w:szCs w:val="32"/>
        </w:rPr>
        <w:t>tandalone</w:t>
      </w:r>
      <w:r>
        <w:rPr>
          <w:color w:val="000000"/>
          <w:sz w:val="32"/>
          <w:szCs w:val="32"/>
        </w:rPr>
        <w:t xml:space="preserve"> </w:t>
      </w:r>
      <w:r>
        <w:rPr>
          <w:color w:val="000000"/>
          <w:sz w:val="32"/>
          <w:szCs w:val="32"/>
        </w:rPr>
        <w:t>Room Air Purifier</w:t>
      </w:r>
      <w:r>
        <w:rPr>
          <w:color w:val="000000"/>
          <w:sz w:val="32"/>
          <w:szCs w:val="32"/>
        </w:rPr>
        <w:t xml:space="preserve"> </w:t>
      </w:r>
      <w:r>
        <w:rPr>
          <w:color w:val="000000"/>
          <w:sz w:val="32"/>
          <w:szCs w:val="32"/>
        </w:rPr>
        <w:t>A</w:t>
      </w:r>
      <w:r>
        <w:rPr>
          <w:color w:val="000000"/>
          <w:sz w:val="32"/>
          <w:szCs w:val="32"/>
        </w:rPr>
        <w:t>gainst</w:t>
      </w:r>
      <w:r>
        <w:rPr>
          <w:color w:val="000000"/>
          <w:sz w:val="32"/>
          <w:szCs w:val="32"/>
        </w:rPr>
        <w:t xml:space="preserve"> </w:t>
      </w:r>
      <w:r>
        <w:rPr>
          <w:color w:val="000000"/>
          <w:sz w:val="32"/>
          <w:szCs w:val="32"/>
        </w:rPr>
        <w:t xml:space="preserve">a </w:t>
      </w:r>
      <w:r>
        <w:rPr>
          <w:color w:val="000000"/>
          <w:sz w:val="32"/>
          <w:szCs w:val="32"/>
        </w:rPr>
        <w:t>B</w:t>
      </w:r>
      <w:r>
        <w:rPr>
          <w:color w:val="000000"/>
          <w:sz w:val="32"/>
          <w:szCs w:val="32"/>
        </w:rPr>
        <w:t xml:space="preserve">road </w:t>
      </w:r>
      <w:r>
        <w:rPr>
          <w:color w:val="000000"/>
          <w:sz w:val="32"/>
          <w:szCs w:val="32"/>
        </w:rPr>
        <w:t>R</w:t>
      </w:r>
      <w:r>
        <w:rPr>
          <w:color w:val="000000"/>
          <w:sz w:val="32"/>
          <w:szCs w:val="32"/>
        </w:rPr>
        <w:t xml:space="preserve">ange of </w:t>
      </w:r>
      <w:r>
        <w:rPr>
          <w:color w:val="000000"/>
          <w:sz w:val="32"/>
          <w:szCs w:val="32"/>
        </w:rPr>
        <w:t>S</w:t>
      </w:r>
      <w:r>
        <w:rPr>
          <w:color w:val="000000"/>
          <w:sz w:val="32"/>
          <w:szCs w:val="32"/>
        </w:rPr>
        <w:t xml:space="preserve">urrogate </w:t>
      </w:r>
      <w:r>
        <w:rPr>
          <w:color w:val="000000"/>
          <w:sz w:val="32"/>
          <w:szCs w:val="32"/>
        </w:rPr>
        <w:t>M</w:t>
      </w:r>
      <w:r>
        <w:rPr>
          <w:color w:val="000000"/>
          <w:sz w:val="32"/>
          <w:szCs w:val="32"/>
        </w:rPr>
        <w:t>icroorganisms</w:t>
      </w:r>
    </w:p>
    <w:p>
      <w:pPr>
        <w:rPr>
          <w:rFonts w:ascii="Arial" w:hAnsi="Arial" w:cs="Arial"/>
          <w:color w:val="000000"/>
          <w:szCs w:val="32"/>
        </w:rPr>
      </w:pPr>
    </w:p>
    <w:p>
      <w:pPr>
        <w:rPr>
          <w:rFonts w:ascii="Arial" w:hAnsi="Arial" w:cs="Arial"/>
          <w:sz w:val="20"/>
        </w:rPr>
      </w:pPr>
      <w:r>
        <w:rPr>
          <w:rFonts w:ascii="Arial" w:hAnsi="Arial" w:cs="Arial"/>
          <w:sz w:val="20"/>
        </w:rPr>
        <w:t>W. Andrew Dexter</w:t>
      </w:r>
      <w:r>
        <w:rPr>
          <w:rFonts w:ascii="Arial" w:hAnsi="Arial" w:cs="Arial"/>
          <w:b/>
          <w:color w:val="95B3D7"/>
          <w:sz w:val="20"/>
          <w:vertAlign w:val="superscript"/>
        </w:rPr>
        <w:t xml:space="preserve"> a</w:t>
      </w:r>
      <w:r>
        <w:rPr>
          <w:rFonts w:ascii="Arial" w:hAnsi="Arial" w:cs="Arial"/>
          <w:b/>
          <w:color w:val="95B3D7"/>
          <w:sz w:val="20"/>
        </w:rPr>
        <w:t>,</w:t>
      </w:r>
      <w:r>
        <w:rPr>
          <w:rFonts w:ascii="Arial" w:hAnsi="Arial" w:cs="Arial"/>
          <w:sz w:val="20"/>
        </w:rPr>
        <w:t xml:space="preserve"> </w:t>
      </w:r>
      <w:r>
        <w:rPr>
          <w:rFonts w:ascii="Arial" w:hAnsi="Arial" w:cs="Arial"/>
          <w:sz w:val="20"/>
        </w:rPr>
        <w:t>Richard Ludwick</w:t>
      </w:r>
      <w:r>
        <w:rPr>
          <w:rFonts w:cs="Arial"/>
          <w:b/>
          <w:color w:val="95B3D7"/>
          <w:sz w:val="14"/>
          <w:vertAlign w:val="superscript"/>
        </w:rPr>
        <w:t xml:space="preserve"> </w:t>
      </w:r>
      <w:r>
        <w:rPr>
          <w:rFonts w:ascii="Arial" w:hAnsi="Arial" w:cs="Arial"/>
          <w:b/>
          <w:color w:val="95B3D7"/>
          <w:sz w:val="20"/>
          <w:vertAlign w:val="superscript"/>
        </w:rPr>
        <w:t>a</w:t>
      </w:r>
      <w:r>
        <w:rPr>
          <w:rFonts w:ascii="Arial" w:hAnsi="Arial" w:cs="Arial"/>
          <w:b/>
          <w:color w:val="95B3D7"/>
          <w:sz w:val="20"/>
        </w:rPr>
        <w:t>,</w:t>
      </w:r>
      <w:r>
        <w:rPr>
          <w:rFonts w:ascii="Arial" w:hAnsi="Arial" w:cs="Arial"/>
          <w:sz w:val="20"/>
        </w:rPr>
        <w:t xml:space="preserve"> </w:t>
      </w:r>
      <w:r>
        <w:rPr>
          <w:rFonts w:ascii="Arial" w:hAnsi="Arial" w:cs="Arial"/>
          <w:sz w:val="20"/>
        </w:rPr>
        <w:t>J</w:t>
      </w:r>
      <w:r>
        <w:rPr>
          <w:rFonts w:ascii="Arial" w:hAnsi="Arial" w:cs="Arial"/>
          <w:sz w:val="20"/>
        </w:rPr>
        <w:t>amie</w:t>
      </w:r>
      <w:r>
        <w:rPr>
          <w:rFonts w:ascii="Arial" w:hAnsi="Arial" w:cs="Arial"/>
          <w:sz w:val="20"/>
        </w:rPr>
        <w:t xml:space="preserve"> Balarashti</w:t>
      </w:r>
      <w:r>
        <w:rPr>
          <w:rFonts w:ascii="Arial" w:hAnsi="Arial" w:cs="Arial"/>
          <w:sz w:val="20"/>
          <w:vertAlign w:val="superscript"/>
        </w:rPr>
        <w:t xml:space="preserve"> </w:t>
      </w:r>
      <w:r>
        <w:rPr>
          <w:rFonts w:ascii="Arial" w:hAnsi="Arial" w:cs="Arial"/>
          <w:b/>
          <w:color w:val="95B3D7"/>
          <w:sz w:val="20"/>
          <w:vertAlign w:val="superscript"/>
        </w:rPr>
        <w:t>a</w:t>
      </w:r>
    </w:p>
    <w:p>
      <w:pPr>
        <w:jc w:val="both"/>
        <w:rPr>
          <w:rFonts w:cs="Arial"/>
          <w:b/>
          <w:color w:val="808080"/>
          <w:sz w:val="6"/>
        </w:rPr>
      </w:pPr>
      <w:r>
        <w:rPr>
          <w:rFonts w:cs="Arial"/>
          <w:b/>
          <w:color w:val="808080"/>
          <w:sz w:val="14"/>
          <w:vertAlign w:val="superscript"/>
        </w:rPr>
        <w:t>a</w:t>
      </w:r>
      <w:r>
        <w:rPr>
          <w:rFonts w:cs="Arial"/>
          <w:b/>
          <w:color w:val="808080"/>
          <w:sz w:val="14"/>
        </w:rPr>
        <w:t xml:space="preserve"> Aerosol Research and Engineering Laboratories Inc. Olathe KS</w:t>
      </w:r>
      <w:r>
        <w:rPr>
          <w:rFonts w:cs="Arial"/>
          <w:b/>
          <w:color w:val="808080"/>
          <w:sz w:val="6"/>
        </w:rPr>
        <w:t xml:space="preserve"> </w:t>
      </w:r>
    </w:p>
    <w:p>
      <w:pPr>
        <w:jc w:val="both"/>
        <w:rPr>
          <w:rFonts w:cs="Arial"/>
          <w:b/>
          <w:color w:val="808080"/>
          <w:sz w:val="6"/>
        </w:rPr>
      </w:pPr>
    </w:p>
    <w:p>
      <w:pPr>
        <w:jc w:val="both"/>
        <w:rPr>
          <w:rFonts w:ascii="Arial" w:hAnsi="Arial" w:cs="Arial"/>
          <w:b/>
          <w:color w:val="D1CBAD"/>
          <w:sz w:val="14"/>
        </w:rPr>
      </w:pPr>
      <w:r>
        <w:rPr>
          <w:noProof/>
        </w:rPr>
        <mc:AlternateContent>
          <mc:Choice Requires="wps">
            <w:drawing>
              <wp:anchor distT="0" distB="0" distL="114300" distR="114300" behindDoc="0" locked="0" layoutInCell="1" simplePos="0" relativeHeight="251750400" allowOverlap="1" hidden="0">
                <wp:simplePos x="0" y="0"/>
                <wp:positionH relativeFrom="column">
                  <wp:posOffset>3810</wp:posOffset>
                </wp:positionH>
                <wp:positionV relativeFrom="paragraph">
                  <wp:posOffset>3810</wp:posOffset>
                </wp:positionV>
                <wp:extent cx="6370320" cy="0"/>
                <wp:effectExtent l="3175" t="3175" r="3175" b="3175"/>
                <wp:wrapNone/>
                <wp:docPr id="1025" name="shape1025"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0320" cy="0"/>
                        </a:xfrm>
                        <a:prstGeom prst="line">
                          <a:avLst/>
                        </a:prstGeom>
                        <a:ln w="6350">
                          <a:solidFill>
                            <a:schemeClr val="dk1">
                              <a:lumMod val="50000"/>
                              <a:lumOff val="50000"/>
                            </a:schemeClr>
                          </a:solidFill>
                        </a:ln>
                      </wps:spPr>
                      <wps:style>
                        <a:lnRef idx="1">
                          <a:schemeClr val="accent1"/>
                        </a:lnRef>
                        <a:fillRef idx="0">
                          <a:schemeClr val="accent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3pt;margin-top:0.3pt;width:501.6pt;height:0pt;mso-position-horizontal-relative:column;mso-position-vertical-relative:line;v-text-anchor:top;mso-wrap-style:square;z-index:251750400" o:allowincell="t" filled="f" stroked="t" strokecolor="#808080" strokeweight="0.5pt">
                <v:stroke joinstyle="round"/>
              </v:line>
            </w:pict>
          </mc:Fallback>
        </mc:AlternateContent>
      </w:r>
    </w:p>
    <w:p>
      <w:pPr>
        <w:ind w:left="1980" w:right="90"/>
        <w:jc w:val="both"/>
        <w:rPr>
          <w:rFonts w:asciiTheme="minorHAnsi" w:hAnsiTheme="minorHAnsi"/>
          <w:sz w:val="18"/>
          <w:szCs w:val="18"/>
        </w:rPr>
        <w:sectPr>
          <w:pgSz w:w="12240" w:h="15840" w:code="1"/>
          <w:pgMar w:top="1440" w:right="1080" w:bottom="720" w:left="1080" w:header="720" w:footer="576" w:gutter="0"/>
          <w:cols w:space="720"/>
          <w:docGrid w:linePitch="360"/>
          <w:headerReference w:type="default" r:id="rId1"/>
          <w:footerReference w:type="default" r:id="rId2"/>
        </w:sectPr>
      </w:pPr>
    </w:p>
    <w:p>
      <w:pPr>
        <w:ind w:right="90"/>
        <w:jc w:val="both"/>
        <w:tabs>
          <w:tab w:val="left" w:pos="1980"/>
        </w:tabs>
        <w:rPr>
          <w:rFonts w:asciiTheme="minorHAnsi" w:hAnsiTheme="minorHAnsi"/>
          <w:sz w:val="18"/>
          <w:szCs w:val="18"/>
        </w:rPr>
      </w:pPr>
      <w:r>
        <w:rPr>
          <w:rFonts w:ascii="Arial" w:hAnsi="Arial" w:cs="Arial"/>
          <w:b/>
          <w:noProof/>
          <w:color w:val="EEECE1"/>
          <w:sz w:val="14"/>
        </w:rPr>
        <mc:AlternateContent>
          <mc:Choice Requires="wps">
            <w:drawing>
              <wp:inline distT="0" distB="0" distL="0" distR="0">
                <wp:extent cx="1742536" cy="5815584"/>
                <wp:effectExtent l="3175" t="3175" r="3175" b="3175"/>
                <wp:docPr id="1026" name="shape1026"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2536" cy="5815584"/>
                        </a:xfrm>
                        <a:prstGeom prst="rect">
                          <a:avLst/>
                        </a:prstGeom>
                        <a:solidFill>
                          <a:srgbClr val="00b0f0">
                            <a:alpha val="8000"/>
                          </a:srgb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ind w:left="-90"/>
                              <w:jc w:val="both"/>
                              <w:spacing w:line="216" w:lineRule="auto"/>
                              <w:rPr>
                                <w:color w:val="0070C0"/>
                                <w:sz w:val="16"/>
                                <w:spacing w:val="40"/>
                              </w:rPr>
                            </w:pPr>
                            <w:r>
                              <w:rPr>
                                <w:color w:val="0070C0"/>
                                <w:sz w:val="16"/>
                                <w:spacing w:val="40"/>
                              </w:rPr>
                              <w:t>A</w:t>
                            </w:r>
                            <w:r>
                              <w:rPr>
                                <w:color w:val="0070C0"/>
                                <w:sz w:val="16"/>
                                <w:spacing w:val="40"/>
                              </w:rPr>
                              <w:t>rticle Info</w:t>
                            </w:r>
                          </w:p>
                          <w:p>
                            <w:pPr>
                              <w:ind w:left="-90"/>
                              <w:jc w:val="both"/>
                              <w:spacing w:line="216" w:lineRule="auto"/>
                              <w:rPr>
                                <w:color w:val="0070C0"/>
                                <w:sz w:val="16"/>
                                <w:spacing w:val="40"/>
                              </w:rPr>
                            </w:pPr>
                          </w:p>
                          <w:p>
                            <w:pPr>
                              <w:jc w:val="both"/>
                              <w:spacing w:line="216" w:lineRule="auto"/>
                              <w:rPr>
                                <w:sz w:val="16"/>
                              </w:rPr>
                            </w:pPr>
                            <w:r>
                              <w:rPr>
                                <w:sz w:val="16"/>
                              </w:rPr>
                              <w:t>Radic8: VKPro</w:t>
                            </w:r>
                          </w:p>
                          <w:p>
                            <w:pPr>
                              <w:jc w:val="both"/>
                              <w:spacing w:line="216" w:lineRule="auto"/>
                              <w:rPr>
                                <w:sz w:val="16"/>
                              </w:rPr>
                            </w:pPr>
                            <w:r>
                              <w:rPr>
                                <w:sz w:val="16"/>
                              </w:rPr>
                              <w:t>Project Number: 10906.10</w:t>
                            </w:r>
                          </w:p>
                          <w:p>
                            <w:pPr>
                              <w:ind w:left="-90"/>
                              <w:jc w:val="both"/>
                              <w:spacing w:line="216" w:lineRule="auto"/>
                              <w:rPr>
                                <w:i/>
                                <w:color w:val="0070C0"/>
                                <w:sz w:val="16"/>
                              </w:rPr>
                            </w:pPr>
                          </w:p>
                          <w:p>
                            <w:pPr>
                              <w:ind w:left="-90"/>
                              <w:jc w:val="both"/>
                              <w:spacing w:line="228" w:lineRule="auto"/>
                              <w:rPr>
                                <w:color w:val="0070C0"/>
                                <w:sz w:val="16"/>
                              </w:rPr>
                            </w:pPr>
                            <w:r>
                              <w:rPr>
                                <w:i/>
                                <w:color w:val="0070C0"/>
                                <w:sz w:val="16"/>
                              </w:rPr>
                              <w:t>Article History</w:t>
                            </w:r>
                            <w:r>
                              <w:rPr>
                                <w:i/>
                                <w:color w:val="0070C0"/>
                                <w:sz w:val="16"/>
                              </w:rPr>
                              <w:t>:</w:t>
                            </w:r>
                            <w:r>
                              <w:rPr>
                                <w:color w:val="0070C0"/>
                                <w:sz w:val="16"/>
                              </w:rPr>
                              <w:t xml:space="preserve"> </w:t>
                            </w:r>
                          </w:p>
                          <w:p>
                            <w:pPr>
                              <w:ind w:left="-90"/>
                              <w:jc w:val="both"/>
                              <w:spacing w:line="228" w:lineRule="auto"/>
                              <w:rPr>
                                <w:color w:val="0070C0"/>
                                <w:sz w:val="16"/>
                              </w:rPr>
                            </w:pPr>
                          </w:p>
                          <w:p>
                            <w:pPr>
                              <w:ind w:left="86" w:firstLine="4"/>
                              <w:jc w:val="both"/>
                              <w:spacing w:line="228" w:lineRule="auto"/>
                              <w:rPr>
                                <w:rFonts w:asciiTheme="majorHAnsi" w:hAnsiTheme="majorHAnsi"/>
                                <w:sz w:val="16"/>
                              </w:rPr>
                            </w:pPr>
                            <w:r>
                              <w:rPr>
                                <w:rFonts w:asciiTheme="majorHAnsi" w:hAnsiTheme="majorHAnsi"/>
                                <w:sz w:val="16"/>
                              </w:rPr>
                              <w:t xml:space="preserve">Submitted: </w:t>
                            </w:r>
                            <w:r>
                              <w:rPr>
                                <w:rFonts w:asciiTheme="majorHAnsi" w:hAnsiTheme="majorHAnsi"/>
                                <w:sz w:val="16"/>
                              </w:rPr>
                              <w:t>13</w:t>
                            </w:r>
                            <w:r>
                              <w:rPr>
                                <w:rFonts w:asciiTheme="majorHAnsi" w:hAnsiTheme="majorHAnsi"/>
                                <w:sz w:val="16"/>
                                <w:vertAlign w:val="superscript"/>
                              </w:rPr>
                              <w:t>t</w:t>
                            </w:r>
                            <w:r>
                              <w:rPr>
                                <w:rFonts w:asciiTheme="majorHAnsi" w:hAnsiTheme="majorHAnsi"/>
                                <w:sz w:val="16"/>
                                <w:vertAlign w:val="superscript"/>
                              </w:rPr>
                              <w:t>h</w:t>
                            </w:r>
                            <w:r>
                              <w:rPr>
                                <w:rFonts w:asciiTheme="majorHAnsi" w:hAnsiTheme="majorHAnsi"/>
                                <w:sz w:val="16"/>
                              </w:rPr>
                              <w:t xml:space="preserve"> Ju</w:t>
                            </w:r>
                            <w:r>
                              <w:rPr>
                                <w:rFonts w:asciiTheme="majorHAnsi" w:hAnsiTheme="majorHAnsi"/>
                                <w:sz w:val="16"/>
                              </w:rPr>
                              <w:t>ly</w:t>
                            </w:r>
                            <w:r>
                              <w:rPr>
                                <w:rFonts w:asciiTheme="majorHAnsi" w:hAnsiTheme="majorHAnsi"/>
                                <w:sz w:val="16"/>
                              </w:rPr>
                              <w:t xml:space="preserve"> 2021</w:t>
                            </w:r>
                          </w:p>
                          <w:p>
                            <w:pPr>
                              <w:jc w:val="both"/>
                              <w:spacing w:line="228" w:lineRule="auto"/>
                              <w:rPr>
                                <w:color w:val="0070C0"/>
                                <w:sz w:val="16"/>
                              </w:rPr>
                            </w:pPr>
                          </w:p>
                          <w:p>
                            <w:pPr>
                              <w:ind w:left="-90"/>
                              <w:jc w:val="both"/>
                              <w:spacing w:line="228" w:lineRule="auto"/>
                              <w:rPr>
                                <w:color w:val="0070C0"/>
                                <w:sz w:val="16"/>
                              </w:rPr>
                            </w:pPr>
                            <w:r>
                              <w:rPr>
                                <w:i/>
                                <w:color w:val="0070C0"/>
                                <w:sz w:val="16"/>
                              </w:rPr>
                              <w:t>Keywords</w:t>
                            </w:r>
                            <w:r>
                              <w:rPr>
                                <w:i/>
                                <w:color w:val="0070C0"/>
                                <w:sz w:val="16"/>
                              </w:rPr>
                              <w:t>:</w:t>
                            </w:r>
                            <w:r>
                              <w:rPr>
                                <w:color w:val="0070C0"/>
                                <w:sz w:val="16"/>
                              </w:rPr>
                              <w:t xml:space="preserve"> </w:t>
                            </w:r>
                          </w:p>
                          <w:p>
                            <w:pPr>
                              <w:ind w:left="-90"/>
                              <w:jc w:val="both"/>
                              <w:spacing w:line="228" w:lineRule="auto"/>
                              <w:rPr>
                                <w:color w:val="0070C0"/>
                                <w:sz w:val="16"/>
                              </w:rPr>
                            </w:pPr>
                          </w:p>
                          <w:p>
                            <w:pPr>
                              <w:pStyle w:val="ListParagraph"/>
                              <w:ind w:left="180" w:hanging="90"/>
                              <w:jc w:val="both"/>
                              <w:numPr>
                                <w:ilvl w:val="0"/>
                                <w:numId w:val="1"/>
                              </w:numPr>
                              <w:spacing w:line="228" w:lineRule="auto"/>
                              <w:rPr>
                                <w:rFonts w:asciiTheme="majorHAnsi" w:hAnsiTheme="majorHAnsi"/>
                                <w:i/>
                                <w:sz w:val="15"/>
                                <w:szCs w:val="15"/>
                              </w:rPr>
                            </w:pPr>
                            <w:r>
                              <w:rPr>
                                <w:rFonts w:asciiTheme="majorHAnsi" w:hAnsiTheme="majorHAnsi"/>
                                <w:i/>
                                <w:sz w:val="15"/>
                                <w:szCs w:val="15"/>
                              </w:rPr>
                              <w:t>VKPro</w:t>
                            </w:r>
                          </w:p>
                          <w:p>
                            <w:pPr>
                              <w:pStyle w:val="ListParagraph"/>
                              <w:ind w:left="180" w:hanging="90"/>
                              <w:jc w:val="both"/>
                              <w:numPr>
                                <w:ilvl w:val="0"/>
                                <w:numId w:val="1"/>
                              </w:numPr>
                              <w:spacing w:line="228" w:lineRule="auto"/>
                              <w:rPr>
                                <w:rFonts w:asciiTheme="majorHAnsi" w:hAnsiTheme="majorHAnsi"/>
                                <w:i/>
                                <w:sz w:val="15"/>
                                <w:szCs w:val="15"/>
                              </w:rPr>
                            </w:pPr>
                            <w:r>
                              <w:rPr>
                                <w:rFonts w:asciiTheme="majorHAnsi" w:hAnsiTheme="majorHAnsi"/>
                                <w:i/>
                                <w:sz w:val="15"/>
                                <w:szCs w:val="15"/>
                              </w:rPr>
                              <w:t>Bioaerosol Reduction</w:t>
                            </w:r>
                          </w:p>
                          <w:p>
                            <w:pPr>
                              <w:pStyle w:val="ListParagraph"/>
                              <w:ind w:left="180" w:hanging="90"/>
                              <w:jc w:val="both"/>
                              <w:numPr>
                                <w:ilvl w:val="0"/>
                                <w:numId w:val="1"/>
                              </w:numPr>
                              <w:spacing w:line="228" w:lineRule="auto"/>
                              <w:rPr>
                                <w:rFonts w:asciiTheme="majorHAnsi" w:hAnsiTheme="majorHAnsi"/>
                                <w:i/>
                                <w:sz w:val="15"/>
                                <w:szCs w:val="15"/>
                              </w:rPr>
                            </w:pPr>
                            <w:r>
                              <w:rPr>
                                <w:rFonts w:ascii="Cambria" w:hAnsi="Cambria" w:cstheme="minorHAnsi"/>
                                <w:i/>
                                <w:sz w:val="15"/>
                                <w:szCs w:val="15"/>
                              </w:rPr>
                              <w:t>Pantoea agglomerans</w:t>
                            </w:r>
                          </w:p>
                          <w:p>
                            <w:pPr>
                              <w:pStyle w:val="ListParagraph"/>
                              <w:ind w:left="180" w:hanging="90"/>
                              <w:jc w:val="both"/>
                              <w:numPr>
                                <w:ilvl w:val="0"/>
                                <w:numId w:val="1"/>
                              </w:numPr>
                              <w:spacing w:line="228" w:lineRule="auto"/>
                              <w:rPr>
                                <w:rFonts w:asciiTheme="majorHAnsi" w:hAnsiTheme="majorHAnsi"/>
                                <w:i/>
                                <w:sz w:val="15"/>
                                <w:szCs w:val="15"/>
                              </w:rPr>
                            </w:pPr>
                            <w:r>
                              <w:rPr>
                                <w:rFonts w:ascii="Cambria" w:hAnsi="Cambria" w:cstheme="minorHAnsi"/>
                                <w:i/>
                                <w:sz w:val="15"/>
                                <w:szCs w:val="15"/>
                              </w:rPr>
                              <w:t>Aspergillus brasiliensis</w:t>
                            </w:r>
                            <w:r>
                              <w:rPr>
                                <w:rFonts w:asciiTheme="majorHAnsi" w:hAnsiTheme="majorHAnsi"/>
                                <w:i/>
                                <w:sz w:val="15"/>
                                <w:szCs w:val="15"/>
                              </w:rPr>
                              <w:t xml:space="preserve"> </w:t>
                            </w:r>
                          </w:p>
                          <w:p>
                            <w:pPr>
                              <w:pStyle w:val="ListParagraph"/>
                              <w:ind w:left="180" w:hanging="90"/>
                              <w:jc w:val="both"/>
                              <w:numPr>
                                <w:ilvl w:val="0"/>
                                <w:numId w:val="1"/>
                              </w:numPr>
                              <w:spacing w:line="228" w:lineRule="auto"/>
                              <w:rPr>
                                <w:rFonts w:asciiTheme="majorHAnsi" w:hAnsiTheme="majorHAnsi"/>
                                <w:i/>
                                <w:sz w:val="15"/>
                                <w:szCs w:val="15"/>
                              </w:rPr>
                            </w:pPr>
                            <w:r>
                              <w:rPr>
                                <w:rFonts w:ascii="Cambria" w:hAnsi="Cambria" w:cstheme="minorHAnsi"/>
                                <w:i/>
                                <w:sz w:val="15"/>
                                <w:szCs w:val="15"/>
                              </w:rPr>
                              <w:t>Staphylococcus epidermidis</w:t>
                            </w:r>
                            <w:r>
                              <w:rPr>
                                <w:rFonts w:ascii="Cambria" w:hAnsi="Cambria" w:cstheme="minorHAnsi"/>
                                <w:sz w:val="15"/>
                                <w:szCs w:val="15"/>
                              </w:rPr>
                              <w:t xml:space="preserve"> </w:t>
                            </w:r>
                          </w:p>
                          <w:p>
                            <w:pPr>
                              <w:pStyle w:val="ListParagraph"/>
                              <w:ind w:left="180" w:hanging="90"/>
                              <w:jc w:val="both"/>
                              <w:numPr>
                                <w:ilvl w:val="0"/>
                                <w:numId w:val="1"/>
                              </w:numPr>
                              <w:spacing w:line="228" w:lineRule="auto"/>
                              <w:rPr>
                                <w:rFonts w:asciiTheme="majorHAnsi" w:hAnsiTheme="majorHAnsi"/>
                                <w:i/>
                                <w:sz w:val="15"/>
                                <w:szCs w:val="15"/>
                              </w:rPr>
                            </w:pPr>
                            <w:r>
                              <w:rPr>
                                <w:rFonts w:ascii="Cambria" w:hAnsi="Cambria" w:cstheme="minorHAnsi"/>
                                <w:i/>
                                <w:sz w:val="15"/>
                                <w:szCs w:val="15"/>
                              </w:rPr>
                              <w:t>Bacillus subtilis</w:t>
                            </w:r>
                            <w:r>
                              <w:rPr>
                                <w:rFonts w:ascii="Cambria" w:hAnsi="Cambria" w:cstheme="minorHAnsi"/>
                                <w:sz w:val="15"/>
                                <w:szCs w:val="15"/>
                              </w:rPr>
                              <w:t xml:space="preserve"> </w:t>
                            </w:r>
                          </w:p>
                          <w:p>
                            <w:pPr>
                              <w:pStyle w:val="ListParagraph"/>
                              <w:ind w:left="180" w:hanging="90"/>
                              <w:jc w:val="both"/>
                              <w:numPr>
                                <w:ilvl w:val="0"/>
                                <w:numId w:val="1"/>
                              </w:numPr>
                              <w:spacing w:line="228" w:lineRule="auto"/>
                              <w:rPr>
                                <w:rFonts w:asciiTheme="majorHAnsi" w:hAnsiTheme="majorHAnsi"/>
                                <w:i/>
                                <w:sz w:val="15"/>
                                <w:szCs w:val="15"/>
                              </w:rPr>
                            </w:pPr>
                            <w:r>
                              <w:rPr>
                                <w:rFonts w:ascii="Cambria" w:hAnsi="Cambria" w:cstheme="minorHAnsi"/>
                                <w:sz w:val="15"/>
                                <w:szCs w:val="15"/>
                              </w:rPr>
                              <w:t>PhiX-174</w:t>
                            </w:r>
                          </w:p>
                          <w:p>
                            <w:pPr>
                              <w:pStyle w:val="ListParagraph"/>
                              <w:ind w:left="180" w:hanging="90"/>
                              <w:jc w:val="both"/>
                              <w:numPr>
                                <w:ilvl w:val="0"/>
                                <w:numId w:val="1"/>
                              </w:numPr>
                              <w:spacing w:line="228" w:lineRule="auto"/>
                              <w:rPr>
                                <w:rFonts w:asciiTheme="majorHAnsi" w:hAnsiTheme="majorHAnsi"/>
                                <w:i/>
                                <w:sz w:val="16"/>
                              </w:rPr>
                            </w:pPr>
                            <w:r>
                              <w:rPr>
                                <w:rFonts w:ascii="Cambria" w:hAnsi="Cambria" w:cstheme="minorHAnsi"/>
                                <w:sz w:val="15"/>
                                <w:szCs w:val="15"/>
                              </w:rPr>
                              <w:t>MS2</w:t>
                            </w:r>
                          </w:p>
                          <w:p>
                            <w:pPr>
                              <w:pStyle w:val="ListParagraph"/>
                              <w:ind w:left="180"/>
                              <w:jc w:val="both"/>
                              <w:spacing w:line="228" w:lineRule="auto"/>
                            </w:pPr>
                          </w:p>
                          <w:p>
                            <w:pPr>
                              <w:ind w:left="-90"/>
                              <w:jc w:val="both"/>
                              <w:spacing w:line="228" w:lineRule="auto"/>
                              <w:rPr>
                                <w:i/>
                                <w:color w:val="0070C0"/>
                                <w:sz w:val="16"/>
                              </w:rPr>
                            </w:pPr>
                            <w:r>
                              <w:rPr>
                                <w:i/>
                                <w:color w:val="0070C0"/>
                                <w:sz w:val="16"/>
                              </w:rPr>
                              <w:t>FDA Compliance:</w:t>
                            </w:r>
                          </w:p>
                          <w:p>
                            <w:pPr>
                              <w:ind w:left="-90"/>
                              <w:jc w:val="both"/>
                              <w:spacing w:line="228" w:lineRule="auto"/>
                              <w:rPr>
                                <w:i/>
                                <w:color w:val="0070C0"/>
                                <w:sz w:val="16"/>
                              </w:rPr>
                            </w:pPr>
                          </w:p>
                          <w:p>
                            <w:pPr>
                              <w:ind w:left="90" w:right="90"/>
                              <w:jc w:val="both"/>
                              <w:spacing w:line="228" w:lineRule="auto"/>
                              <w:rPr>
                                <w:rFonts w:asciiTheme="majorHAnsi" w:hAnsiTheme="majorHAnsi"/>
                                <w:sz w:val="16"/>
                                <w:szCs w:val="16"/>
                              </w:rPr>
                            </w:pPr>
                            <w:r>
                              <w:rPr>
                                <w:rFonts w:asciiTheme="majorHAnsi" w:hAnsiTheme="majorHAnsi"/>
                                <w:sz w:val="16"/>
                                <w:szCs w:val="16"/>
                              </w:rPr>
                              <w:t>This study was conducted in compliance with FDA Good Laboratory Practices (GLP) as defined in 21 CFR, Part 58.</w:t>
                            </w:r>
                          </w:p>
                          <w:p>
                            <w:pPr>
                              <w:ind w:left="-90" w:right="90" w:firstLine="180"/>
                              <w:jc w:val="both"/>
                              <w:spacing w:line="228" w:lineRule="auto"/>
                              <w:rPr>
                                <w:sz w:val="16"/>
                                <w:szCs w:val="16"/>
                              </w:rPr>
                            </w:pPr>
                          </w:p>
                          <w:p>
                            <w:pPr>
                              <w:ind w:left="-90"/>
                              <w:jc w:val="both"/>
                              <w:spacing w:line="228" w:lineRule="auto"/>
                              <w:rPr>
                                <w:i/>
                                <w:color w:val="0070C0"/>
                                <w:sz w:val="16"/>
                              </w:rPr>
                            </w:pPr>
                            <w:r>
                              <w:rPr>
                                <w:i/>
                                <w:color w:val="0070C0"/>
                                <w:sz w:val="16"/>
                              </w:rPr>
                              <w:t>Testing Lab:</w:t>
                            </w:r>
                          </w:p>
                          <w:p>
                            <w:pPr>
                              <w:ind w:left="-90"/>
                              <w:jc w:val="both"/>
                              <w:spacing w:line="228" w:lineRule="auto"/>
                              <w:rPr>
                                <w:rFonts w:asciiTheme="majorHAnsi" w:hAnsiTheme="majorHAnsi"/>
                                <w:i/>
                                <w:color w:val="0070C0"/>
                                <w:sz w:val="16"/>
                              </w:rPr>
                            </w:pPr>
                          </w:p>
                          <w:p>
                            <w:pPr>
                              <w:ind w:left="86"/>
                              <w:spacing w:line="228" w:lineRule="auto"/>
                              <w:rPr>
                                <w:rFonts w:asciiTheme="majorHAnsi" w:hAnsiTheme="majorHAnsi"/>
                                <w:sz w:val="16"/>
                              </w:rPr>
                            </w:pPr>
                            <w:r>
                              <w:rPr>
                                <w:rFonts w:asciiTheme="majorHAnsi" w:hAnsiTheme="majorHAnsi"/>
                                <w:sz w:val="16"/>
                              </w:rPr>
                              <w:t>Aerosol Research and Engineering Laboratories, Inc.</w:t>
                            </w:r>
                          </w:p>
                          <w:p>
                            <w:pPr>
                              <w:ind w:left="86"/>
                              <w:spacing w:line="228" w:lineRule="auto"/>
                              <w:rPr>
                                <w:rFonts w:asciiTheme="majorHAnsi" w:hAnsiTheme="majorHAnsi"/>
                                <w:sz w:val="16"/>
                              </w:rPr>
                            </w:pPr>
                            <w:r>
                              <w:rPr>
                                <w:rFonts w:asciiTheme="majorHAnsi" w:hAnsiTheme="majorHAnsi"/>
                                <w:sz w:val="16"/>
                              </w:rPr>
                              <w:t>Project #: 10</w:t>
                            </w:r>
                            <w:r>
                              <w:rPr>
                                <w:rFonts w:asciiTheme="majorHAnsi" w:hAnsiTheme="majorHAnsi"/>
                                <w:sz w:val="16"/>
                              </w:rPr>
                              <w:t>906</w:t>
                            </w:r>
                            <w:r>
                              <w:rPr>
                                <w:rFonts w:asciiTheme="majorHAnsi" w:hAnsiTheme="majorHAnsi"/>
                                <w:sz w:val="16"/>
                              </w:rPr>
                              <w:t>.</w:t>
                            </w:r>
                            <w:r>
                              <w:rPr>
                                <w:rFonts w:asciiTheme="majorHAnsi" w:hAnsiTheme="majorHAnsi"/>
                                <w:sz w:val="16"/>
                              </w:rPr>
                              <w:t>1</w:t>
                            </w:r>
                            <w:r>
                              <w:rPr>
                                <w:rFonts w:asciiTheme="majorHAnsi" w:hAnsiTheme="majorHAnsi"/>
                                <w:sz w:val="16"/>
                              </w:rPr>
                              <w:t>0</w:t>
                            </w:r>
                          </w:p>
                          <w:p>
                            <w:pPr>
                              <w:ind w:left="86"/>
                              <w:spacing w:line="228" w:lineRule="auto"/>
                              <w:rPr>
                                <w:sz w:val="16"/>
                              </w:rPr>
                            </w:pPr>
                          </w:p>
                          <w:p>
                            <w:pPr>
                              <w:ind w:left="-90"/>
                              <w:spacing w:line="228" w:lineRule="auto"/>
                              <w:rPr>
                                <w:i/>
                                <w:color w:val="0070C0"/>
                                <w:sz w:val="16"/>
                              </w:rPr>
                            </w:pPr>
                            <w:r>
                              <w:rPr>
                                <w:i/>
                                <w:color w:val="0070C0"/>
                                <w:sz w:val="16"/>
                              </w:rPr>
                              <w:t>Conflict of Interest:</w:t>
                            </w:r>
                          </w:p>
                          <w:p>
                            <w:pPr>
                              <w:ind w:left="86"/>
                              <w:spacing w:line="228" w:lineRule="auto"/>
                              <w:rPr>
                                <w:sz w:val="16"/>
                              </w:rPr>
                            </w:pPr>
                          </w:p>
                          <w:p>
                            <w:pPr>
                              <w:ind w:left="90"/>
                              <w:jc w:val="both"/>
                              <w:rPr>
                                <w:rFonts w:asciiTheme="majorHAnsi" w:hAnsiTheme="majorHAnsi"/>
                                <w:sz w:val="12"/>
                                <w:szCs w:val="20"/>
                              </w:rPr>
                            </w:pPr>
                            <w:r>
                              <w:rPr>
                                <w:rFonts w:asciiTheme="majorHAnsi" w:hAnsiTheme="majorHAnsi"/>
                                <w:sz w:val="16"/>
                              </w:rPr>
                              <w:t>Aerosol Research and Engineering Laboratories, Inc. have no affiliations with, or involvement in any capacity, with Radic8’s financial interests such as; membership, employment, stock ownership, or other equity interest.</w:t>
                            </w:r>
                          </w:p>
                          <w:p>
                            <w:pPr>
                              <w:ind w:left="86"/>
                              <w:spacing w:line="228" w:lineRule="auto"/>
                              <w:rPr>
                                <w:sz w:val="16"/>
                              </w:rPr>
                            </w:pPr>
                          </w:p>
                          <w:p>
                            <w:pPr>
                              <w:ind w:left="-90"/>
                              <w:spacing w:line="228" w:lineRule="auto"/>
                              <w:rPr>
                                <w:i/>
                                <w:color w:val="0070C0"/>
                                <w:sz w:val="16"/>
                              </w:rPr>
                            </w:pPr>
                            <w:r>
                              <w:rPr>
                                <w:i/>
                                <w:color w:val="0070C0"/>
                                <w:sz w:val="16"/>
                              </w:rPr>
                              <w:t>Other Reference Documents</w:t>
                            </w:r>
                            <w:r>
                              <w:rPr>
                                <w:i/>
                                <w:color w:val="0070C0"/>
                                <w:sz w:val="16"/>
                              </w:rPr>
                              <w:t>:</w:t>
                            </w:r>
                          </w:p>
                          <w:p>
                            <w:pPr>
                              <w:ind w:left="-90"/>
                              <w:spacing w:line="228" w:lineRule="auto"/>
                              <w:rPr>
                                <w:i/>
                                <w:color w:val="0070C0"/>
                                <w:sz w:val="16"/>
                              </w:rPr>
                            </w:pPr>
                          </w:p>
                          <w:p>
                            <w:pPr>
                              <w:ind w:left="90"/>
                              <w:spacing w:line="228" w:lineRule="auto"/>
                              <w:rPr>
                                <w:sz w:val="16"/>
                              </w:rPr>
                            </w:pPr>
                            <w:r>
                              <w:rPr>
                                <w:sz w:val="16"/>
                              </w:rPr>
                              <w:t>This document is one of 8 reports documenting the efficacy of the VKPro. The other 7 reports address each organism individually.</w:t>
                            </w:r>
                          </w:p>
                          <w:p>
                            <w:pPr>
                              <w:ind w:left="86"/>
                              <w:spacing w:line="228" w:lineRule="auto"/>
                              <w:rPr>
                                <w:sz w:val="16"/>
                              </w:rPr>
                            </w:pPr>
                          </w:p>
                          <w:p>
                            <w:pPr>
                              <w:ind w:left="86"/>
                              <w:spacing w:line="228" w:lineRule="auto"/>
                              <w:rPr>
                                <w:sz w:val="16"/>
                              </w:rPr>
                            </w:pPr>
                          </w:p>
                          <w:p>
                            <w:pPr>
                              <w:ind w:left="-90" w:right="90" w:firstLine="180"/>
                              <w:jc w:val="both"/>
                              <w:spacing w:line="216" w:lineRule="auto"/>
                              <w:rPr>
                                <w:sz w:val="16"/>
                                <w:szCs w:val="16"/>
                              </w:rPr>
                            </w:pPr>
                          </w:p>
                          <w:p>
                            <w:pPr>
                              <w:jc w:val="both"/>
                              <w:spacing w:line="216" w:lineRule="auto"/>
                              <w:rPr>
                                <w:sz w:val="16"/>
                                <w:szCs w:val="18"/>
                              </w:rPr>
                            </w:pPr>
                          </w:p>
                        </w:txbxContent>
                      </wps:txbx>
                      <wps:bodyPr rot="0" vert="horz" wrap="square" lIns="91440" tIns="45720" rIns="91440" bIns="45720" anchor="t">
                        <a:noAutofit/>
                      </wps:bodyPr>
                    </wps:wsp>
                  </a:graphicData>
                </a:graphic>
              </wp:inline>
            </w:drawing>
          </mc:Choice>
          <mc:Fallback>
            <w:pict>
              <v:rect id="1026" style="margin-left:0pt;margin-top:0pt;width:137.208pt;height:457.92pt;mso-position-horizontal-relative:column;mso-position-vertical-relative:line;v-text-anchor:top;mso-wrap-style:square;z-index:0" o:allowincell="t" filled="t" fillcolor="#00b0f0" stroked="t" strokecolor="#0" strokeweight="0.5pt">
                <v:textbox inset="2.5mm,1.3mm,2.5mm,1.3mm">
                  <w:txbxContent>
                    <w:p>
                      <w:pPr>
                        <w:ind w:left="-90"/>
                        <w:jc w:val="both"/>
                        <w:spacing w:line="216" w:lineRule="auto"/>
                        <w:rPr>
                          <w:color w:val="0070C0"/>
                          <w:sz w:val="16"/>
                          <w:spacing w:val="40"/>
                        </w:rPr>
                      </w:pPr>
                      <w:r>
                        <w:rPr>
                          <w:color w:val="0070C0"/>
                          <w:sz w:val="16"/>
                          <w:spacing w:val="40"/>
                        </w:rPr>
                        <w:t>A</w:t>
                      </w:r>
                      <w:r>
                        <w:rPr>
                          <w:color w:val="0070C0"/>
                          <w:sz w:val="16"/>
                          <w:spacing w:val="40"/>
                        </w:rPr>
                        <w:t>rticle Info</w:t>
                      </w:r>
                    </w:p>
                    <w:p>
                      <w:pPr>
                        <w:ind w:left="-90"/>
                        <w:jc w:val="both"/>
                        <w:spacing w:line="216" w:lineRule="auto"/>
                        <w:rPr>
                          <w:color w:val="0070C0"/>
                          <w:sz w:val="16"/>
                          <w:spacing w:val="40"/>
                        </w:rPr>
                      </w:pPr>
                    </w:p>
                    <w:p>
                      <w:pPr>
                        <w:jc w:val="both"/>
                        <w:spacing w:line="216" w:lineRule="auto"/>
                        <w:rPr>
                          <w:sz w:val="16"/>
                        </w:rPr>
                      </w:pPr>
                      <w:r>
                        <w:rPr>
                          <w:sz w:val="16"/>
                        </w:rPr>
                        <w:t>Radic8: VKPro</w:t>
                      </w:r>
                    </w:p>
                    <w:p>
                      <w:pPr>
                        <w:jc w:val="both"/>
                        <w:spacing w:line="216" w:lineRule="auto"/>
                        <w:rPr>
                          <w:sz w:val="16"/>
                        </w:rPr>
                      </w:pPr>
                      <w:r>
                        <w:rPr>
                          <w:sz w:val="16"/>
                        </w:rPr>
                        <w:t>Project Number: 10906.10</w:t>
                      </w:r>
                    </w:p>
                    <w:p>
                      <w:pPr>
                        <w:ind w:left="-90"/>
                        <w:jc w:val="both"/>
                        <w:spacing w:line="216" w:lineRule="auto"/>
                        <w:rPr>
                          <w:i/>
                          <w:color w:val="0070C0"/>
                          <w:sz w:val="16"/>
                        </w:rPr>
                      </w:pPr>
                    </w:p>
                    <w:p>
                      <w:pPr>
                        <w:ind w:left="-90"/>
                        <w:jc w:val="both"/>
                        <w:spacing w:line="228" w:lineRule="auto"/>
                        <w:rPr>
                          <w:color w:val="0070C0"/>
                          <w:sz w:val="16"/>
                        </w:rPr>
                      </w:pPr>
                      <w:r>
                        <w:rPr>
                          <w:i/>
                          <w:color w:val="0070C0"/>
                          <w:sz w:val="16"/>
                        </w:rPr>
                        <w:t>Article History</w:t>
                      </w:r>
                      <w:r>
                        <w:rPr>
                          <w:i/>
                          <w:color w:val="0070C0"/>
                          <w:sz w:val="16"/>
                        </w:rPr>
                        <w:t>:</w:t>
                      </w:r>
                      <w:r>
                        <w:rPr>
                          <w:color w:val="0070C0"/>
                          <w:sz w:val="16"/>
                        </w:rPr>
                        <w:t xml:space="preserve"> </w:t>
                      </w:r>
                    </w:p>
                    <w:p>
                      <w:pPr>
                        <w:ind w:left="-90"/>
                        <w:jc w:val="both"/>
                        <w:spacing w:line="228" w:lineRule="auto"/>
                        <w:rPr>
                          <w:color w:val="0070C0"/>
                          <w:sz w:val="16"/>
                        </w:rPr>
                      </w:pPr>
                    </w:p>
                    <w:p>
                      <w:pPr>
                        <w:ind w:left="86" w:firstLine="4"/>
                        <w:jc w:val="both"/>
                        <w:spacing w:line="228" w:lineRule="auto"/>
                        <w:rPr>
                          <w:rFonts w:asciiTheme="majorHAnsi" w:hAnsiTheme="majorHAnsi"/>
                          <w:sz w:val="16"/>
                        </w:rPr>
                      </w:pPr>
                      <w:r>
                        <w:rPr>
                          <w:rFonts w:asciiTheme="majorHAnsi" w:hAnsiTheme="majorHAnsi"/>
                          <w:sz w:val="16"/>
                        </w:rPr>
                        <w:t xml:space="preserve">Submitted: </w:t>
                      </w:r>
                      <w:r>
                        <w:rPr>
                          <w:rFonts w:asciiTheme="majorHAnsi" w:hAnsiTheme="majorHAnsi"/>
                          <w:sz w:val="16"/>
                        </w:rPr>
                        <w:t>13</w:t>
                      </w:r>
                      <w:r>
                        <w:rPr>
                          <w:rFonts w:asciiTheme="majorHAnsi" w:hAnsiTheme="majorHAnsi"/>
                          <w:sz w:val="16"/>
                          <w:vertAlign w:val="superscript"/>
                        </w:rPr>
                        <w:t>t</w:t>
                      </w:r>
                      <w:r>
                        <w:rPr>
                          <w:rFonts w:asciiTheme="majorHAnsi" w:hAnsiTheme="majorHAnsi"/>
                          <w:sz w:val="16"/>
                          <w:vertAlign w:val="superscript"/>
                        </w:rPr>
                        <w:t>h</w:t>
                      </w:r>
                      <w:r>
                        <w:rPr>
                          <w:rFonts w:asciiTheme="majorHAnsi" w:hAnsiTheme="majorHAnsi"/>
                          <w:sz w:val="16"/>
                        </w:rPr>
                        <w:t xml:space="preserve"> Ju</w:t>
                      </w:r>
                      <w:r>
                        <w:rPr>
                          <w:rFonts w:asciiTheme="majorHAnsi" w:hAnsiTheme="majorHAnsi"/>
                          <w:sz w:val="16"/>
                        </w:rPr>
                        <w:t>ly</w:t>
                      </w:r>
                      <w:r>
                        <w:rPr>
                          <w:rFonts w:asciiTheme="majorHAnsi" w:hAnsiTheme="majorHAnsi"/>
                          <w:sz w:val="16"/>
                        </w:rPr>
                        <w:t xml:space="preserve"> 2021</w:t>
                      </w:r>
                    </w:p>
                    <w:p>
                      <w:pPr>
                        <w:jc w:val="both"/>
                        <w:spacing w:line="228" w:lineRule="auto"/>
                        <w:rPr>
                          <w:color w:val="0070C0"/>
                          <w:sz w:val="16"/>
                        </w:rPr>
                      </w:pPr>
                    </w:p>
                    <w:p>
                      <w:pPr>
                        <w:ind w:left="-90"/>
                        <w:jc w:val="both"/>
                        <w:spacing w:line="228" w:lineRule="auto"/>
                        <w:rPr>
                          <w:color w:val="0070C0"/>
                          <w:sz w:val="16"/>
                        </w:rPr>
                      </w:pPr>
                      <w:r>
                        <w:rPr>
                          <w:i/>
                          <w:color w:val="0070C0"/>
                          <w:sz w:val="16"/>
                        </w:rPr>
                        <w:t>Keywords</w:t>
                      </w:r>
                      <w:r>
                        <w:rPr>
                          <w:i/>
                          <w:color w:val="0070C0"/>
                          <w:sz w:val="16"/>
                        </w:rPr>
                        <w:t>:</w:t>
                      </w:r>
                      <w:r>
                        <w:rPr>
                          <w:color w:val="0070C0"/>
                          <w:sz w:val="16"/>
                        </w:rPr>
                        <w:t xml:space="preserve"> </w:t>
                      </w:r>
                    </w:p>
                    <w:p>
                      <w:pPr>
                        <w:ind w:left="-90"/>
                        <w:jc w:val="both"/>
                        <w:spacing w:line="228" w:lineRule="auto"/>
                        <w:rPr>
                          <w:color w:val="0070C0"/>
                          <w:sz w:val="16"/>
                        </w:rPr>
                      </w:pPr>
                    </w:p>
                    <w:p>
                      <w:pPr>
                        <w:pStyle w:val="ListParagraph"/>
                        <w:ind w:left="180" w:hanging="90"/>
                        <w:jc w:val="both"/>
                        <w:numPr>
                          <w:ilvl w:val="0"/>
                          <w:numId w:val="1"/>
                        </w:numPr>
                        <w:spacing w:line="228" w:lineRule="auto"/>
                        <w:rPr>
                          <w:rFonts w:asciiTheme="majorHAnsi" w:hAnsiTheme="majorHAnsi"/>
                          <w:i/>
                          <w:sz w:val="15"/>
                          <w:szCs w:val="15"/>
                        </w:rPr>
                      </w:pPr>
                      <w:r>
                        <w:rPr>
                          <w:rFonts w:asciiTheme="majorHAnsi" w:hAnsiTheme="majorHAnsi"/>
                          <w:i/>
                          <w:sz w:val="15"/>
                          <w:szCs w:val="15"/>
                        </w:rPr>
                        <w:t>VKPro</w:t>
                      </w:r>
                    </w:p>
                    <w:p>
                      <w:pPr>
                        <w:pStyle w:val="ListParagraph"/>
                        <w:ind w:left="180" w:hanging="90"/>
                        <w:jc w:val="both"/>
                        <w:numPr>
                          <w:ilvl w:val="0"/>
                          <w:numId w:val="1"/>
                        </w:numPr>
                        <w:spacing w:line="228" w:lineRule="auto"/>
                        <w:rPr>
                          <w:rFonts w:asciiTheme="majorHAnsi" w:hAnsiTheme="majorHAnsi"/>
                          <w:i/>
                          <w:sz w:val="15"/>
                          <w:szCs w:val="15"/>
                        </w:rPr>
                      </w:pPr>
                      <w:r>
                        <w:rPr>
                          <w:rFonts w:asciiTheme="majorHAnsi" w:hAnsiTheme="majorHAnsi"/>
                          <w:i/>
                          <w:sz w:val="15"/>
                          <w:szCs w:val="15"/>
                        </w:rPr>
                        <w:t>Bioaerosol Reduction</w:t>
                      </w:r>
                    </w:p>
                    <w:p>
                      <w:pPr>
                        <w:pStyle w:val="ListParagraph"/>
                        <w:ind w:left="180" w:hanging="90"/>
                        <w:jc w:val="both"/>
                        <w:numPr>
                          <w:ilvl w:val="0"/>
                          <w:numId w:val="1"/>
                        </w:numPr>
                        <w:spacing w:line="228" w:lineRule="auto"/>
                        <w:rPr>
                          <w:rFonts w:asciiTheme="majorHAnsi" w:hAnsiTheme="majorHAnsi"/>
                          <w:i/>
                          <w:sz w:val="15"/>
                          <w:szCs w:val="15"/>
                        </w:rPr>
                      </w:pPr>
                      <w:r>
                        <w:rPr>
                          <w:rFonts w:ascii="Cambria" w:hAnsi="Cambria" w:cstheme="minorHAnsi"/>
                          <w:i/>
                          <w:sz w:val="15"/>
                          <w:szCs w:val="15"/>
                        </w:rPr>
                        <w:t>Pantoea agglomerans</w:t>
                      </w:r>
                    </w:p>
                    <w:p>
                      <w:pPr>
                        <w:pStyle w:val="ListParagraph"/>
                        <w:ind w:left="180" w:hanging="90"/>
                        <w:jc w:val="both"/>
                        <w:numPr>
                          <w:ilvl w:val="0"/>
                          <w:numId w:val="1"/>
                        </w:numPr>
                        <w:spacing w:line="228" w:lineRule="auto"/>
                        <w:rPr>
                          <w:rFonts w:asciiTheme="majorHAnsi" w:hAnsiTheme="majorHAnsi"/>
                          <w:i/>
                          <w:sz w:val="15"/>
                          <w:szCs w:val="15"/>
                        </w:rPr>
                      </w:pPr>
                      <w:r>
                        <w:rPr>
                          <w:rFonts w:ascii="Cambria" w:hAnsi="Cambria" w:cstheme="minorHAnsi"/>
                          <w:i/>
                          <w:sz w:val="15"/>
                          <w:szCs w:val="15"/>
                        </w:rPr>
                        <w:t>Aspergillus brasiliensis</w:t>
                      </w:r>
                      <w:r>
                        <w:rPr>
                          <w:rFonts w:asciiTheme="majorHAnsi" w:hAnsiTheme="majorHAnsi"/>
                          <w:i/>
                          <w:sz w:val="15"/>
                          <w:szCs w:val="15"/>
                        </w:rPr>
                        <w:t xml:space="preserve"> </w:t>
                      </w:r>
                    </w:p>
                    <w:p>
                      <w:pPr>
                        <w:pStyle w:val="ListParagraph"/>
                        <w:ind w:left="180" w:hanging="90"/>
                        <w:jc w:val="both"/>
                        <w:numPr>
                          <w:ilvl w:val="0"/>
                          <w:numId w:val="1"/>
                        </w:numPr>
                        <w:spacing w:line="228" w:lineRule="auto"/>
                        <w:rPr>
                          <w:rFonts w:asciiTheme="majorHAnsi" w:hAnsiTheme="majorHAnsi"/>
                          <w:i/>
                          <w:sz w:val="15"/>
                          <w:szCs w:val="15"/>
                        </w:rPr>
                      </w:pPr>
                      <w:r>
                        <w:rPr>
                          <w:rFonts w:ascii="Cambria" w:hAnsi="Cambria" w:cstheme="minorHAnsi"/>
                          <w:i/>
                          <w:sz w:val="15"/>
                          <w:szCs w:val="15"/>
                        </w:rPr>
                        <w:t>Staphylococcus epidermidis</w:t>
                      </w:r>
                      <w:r>
                        <w:rPr>
                          <w:rFonts w:ascii="Cambria" w:hAnsi="Cambria" w:cstheme="minorHAnsi"/>
                          <w:sz w:val="15"/>
                          <w:szCs w:val="15"/>
                        </w:rPr>
                        <w:t xml:space="preserve"> </w:t>
                      </w:r>
                    </w:p>
                    <w:p>
                      <w:pPr>
                        <w:pStyle w:val="ListParagraph"/>
                        <w:ind w:left="180" w:hanging="90"/>
                        <w:jc w:val="both"/>
                        <w:numPr>
                          <w:ilvl w:val="0"/>
                          <w:numId w:val="1"/>
                        </w:numPr>
                        <w:spacing w:line="228" w:lineRule="auto"/>
                        <w:rPr>
                          <w:rFonts w:asciiTheme="majorHAnsi" w:hAnsiTheme="majorHAnsi"/>
                          <w:i/>
                          <w:sz w:val="15"/>
                          <w:szCs w:val="15"/>
                        </w:rPr>
                      </w:pPr>
                      <w:r>
                        <w:rPr>
                          <w:rFonts w:ascii="Cambria" w:hAnsi="Cambria" w:cstheme="minorHAnsi"/>
                          <w:i/>
                          <w:sz w:val="15"/>
                          <w:szCs w:val="15"/>
                        </w:rPr>
                        <w:t>Bacillus subtilis</w:t>
                      </w:r>
                      <w:r>
                        <w:rPr>
                          <w:rFonts w:ascii="Cambria" w:hAnsi="Cambria" w:cstheme="minorHAnsi"/>
                          <w:sz w:val="15"/>
                          <w:szCs w:val="15"/>
                        </w:rPr>
                        <w:t xml:space="preserve"> </w:t>
                      </w:r>
                    </w:p>
                    <w:p>
                      <w:pPr>
                        <w:pStyle w:val="ListParagraph"/>
                        <w:ind w:left="180" w:hanging="90"/>
                        <w:jc w:val="both"/>
                        <w:numPr>
                          <w:ilvl w:val="0"/>
                          <w:numId w:val="1"/>
                        </w:numPr>
                        <w:spacing w:line="228" w:lineRule="auto"/>
                        <w:rPr>
                          <w:rFonts w:asciiTheme="majorHAnsi" w:hAnsiTheme="majorHAnsi"/>
                          <w:i/>
                          <w:sz w:val="15"/>
                          <w:szCs w:val="15"/>
                        </w:rPr>
                      </w:pPr>
                      <w:r>
                        <w:rPr>
                          <w:rFonts w:ascii="Cambria" w:hAnsi="Cambria" w:cstheme="minorHAnsi"/>
                          <w:sz w:val="15"/>
                          <w:szCs w:val="15"/>
                        </w:rPr>
                        <w:t>PhiX-174</w:t>
                      </w:r>
                    </w:p>
                    <w:p>
                      <w:pPr>
                        <w:pStyle w:val="ListParagraph"/>
                        <w:ind w:left="180" w:hanging="90"/>
                        <w:jc w:val="both"/>
                        <w:numPr>
                          <w:ilvl w:val="0"/>
                          <w:numId w:val="1"/>
                        </w:numPr>
                        <w:spacing w:line="228" w:lineRule="auto"/>
                        <w:rPr>
                          <w:rFonts w:asciiTheme="majorHAnsi" w:hAnsiTheme="majorHAnsi"/>
                          <w:i/>
                          <w:sz w:val="16"/>
                        </w:rPr>
                      </w:pPr>
                      <w:r>
                        <w:rPr>
                          <w:rFonts w:ascii="Cambria" w:hAnsi="Cambria" w:cstheme="minorHAnsi"/>
                          <w:sz w:val="15"/>
                          <w:szCs w:val="15"/>
                        </w:rPr>
                        <w:t>MS2</w:t>
                      </w:r>
                    </w:p>
                    <w:p>
                      <w:pPr>
                        <w:pStyle w:val="ListParagraph"/>
                        <w:ind w:left="180"/>
                        <w:jc w:val="both"/>
                        <w:spacing w:line="228" w:lineRule="auto"/>
                      </w:pPr>
                    </w:p>
                    <w:p>
                      <w:pPr>
                        <w:ind w:left="-90"/>
                        <w:jc w:val="both"/>
                        <w:spacing w:line="228" w:lineRule="auto"/>
                        <w:rPr>
                          <w:i/>
                          <w:color w:val="0070C0"/>
                          <w:sz w:val="16"/>
                        </w:rPr>
                      </w:pPr>
                      <w:r>
                        <w:rPr>
                          <w:i/>
                          <w:color w:val="0070C0"/>
                          <w:sz w:val="16"/>
                        </w:rPr>
                        <w:t>FDA Compliance:</w:t>
                      </w:r>
                    </w:p>
                    <w:p>
                      <w:pPr>
                        <w:ind w:left="-90"/>
                        <w:jc w:val="both"/>
                        <w:spacing w:line="228" w:lineRule="auto"/>
                        <w:rPr>
                          <w:i/>
                          <w:color w:val="0070C0"/>
                          <w:sz w:val="16"/>
                        </w:rPr>
                      </w:pPr>
                    </w:p>
                    <w:p>
                      <w:pPr>
                        <w:ind w:left="90" w:right="90"/>
                        <w:jc w:val="both"/>
                        <w:spacing w:line="228" w:lineRule="auto"/>
                        <w:rPr>
                          <w:rFonts w:asciiTheme="majorHAnsi" w:hAnsiTheme="majorHAnsi"/>
                          <w:sz w:val="16"/>
                          <w:szCs w:val="16"/>
                        </w:rPr>
                      </w:pPr>
                      <w:r>
                        <w:rPr>
                          <w:rFonts w:asciiTheme="majorHAnsi" w:hAnsiTheme="majorHAnsi"/>
                          <w:sz w:val="16"/>
                          <w:szCs w:val="16"/>
                        </w:rPr>
                        <w:t>This study was conducted in compliance with FDA Good Laboratory Practices (GLP) as defined in 21 CFR, Part 58.</w:t>
                      </w:r>
                    </w:p>
                    <w:p>
                      <w:pPr>
                        <w:ind w:left="-90" w:right="90" w:firstLine="180"/>
                        <w:jc w:val="both"/>
                        <w:spacing w:line="228" w:lineRule="auto"/>
                        <w:rPr>
                          <w:sz w:val="16"/>
                          <w:szCs w:val="16"/>
                        </w:rPr>
                      </w:pPr>
                    </w:p>
                    <w:p>
                      <w:pPr>
                        <w:ind w:left="-90"/>
                        <w:jc w:val="both"/>
                        <w:spacing w:line="228" w:lineRule="auto"/>
                        <w:rPr>
                          <w:i/>
                          <w:color w:val="0070C0"/>
                          <w:sz w:val="16"/>
                        </w:rPr>
                      </w:pPr>
                      <w:r>
                        <w:rPr>
                          <w:i/>
                          <w:color w:val="0070C0"/>
                          <w:sz w:val="16"/>
                        </w:rPr>
                        <w:t>Testing Lab:</w:t>
                      </w:r>
                    </w:p>
                    <w:p>
                      <w:pPr>
                        <w:ind w:left="-90"/>
                        <w:jc w:val="both"/>
                        <w:spacing w:line="228" w:lineRule="auto"/>
                        <w:rPr>
                          <w:rFonts w:asciiTheme="majorHAnsi" w:hAnsiTheme="majorHAnsi"/>
                          <w:i/>
                          <w:color w:val="0070C0"/>
                          <w:sz w:val="16"/>
                        </w:rPr>
                      </w:pPr>
                    </w:p>
                    <w:p>
                      <w:pPr>
                        <w:ind w:left="86"/>
                        <w:spacing w:line="228" w:lineRule="auto"/>
                        <w:rPr>
                          <w:rFonts w:asciiTheme="majorHAnsi" w:hAnsiTheme="majorHAnsi"/>
                          <w:sz w:val="16"/>
                        </w:rPr>
                      </w:pPr>
                      <w:r>
                        <w:rPr>
                          <w:rFonts w:asciiTheme="majorHAnsi" w:hAnsiTheme="majorHAnsi"/>
                          <w:sz w:val="16"/>
                        </w:rPr>
                        <w:t>Aerosol Research and Engineering Laboratories, Inc.</w:t>
                      </w:r>
                    </w:p>
                    <w:p>
                      <w:pPr>
                        <w:ind w:left="86"/>
                        <w:spacing w:line="228" w:lineRule="auto"/>
                        <w:rPr>
                          <w:rFonts w:asciiTheme="majorHAnsi" w:hAnsiTheme="majorHAnsi"/>
                          <w:sz w:val="16"/>
                        </w:rPr>
                      </w:pPr>
                      <w:r>
                        <w:rPr>
                          <w:rFonts w:asciiTheme="majorHAnsi" w:hAnsiTheme="majorHAnsi"/>
                          <w:sz w:val="16"/>
                        </w:rPr>
                        <w:t>Project #: 10</w:t>
                      </w:r>
                      <w:r>
                        <w:rPr>
                          <w:rFonts w:asciiTheme="majorHAnsi" w:hAnsiTheme="majorHAnsi"/>
                          <w:sz w:val="16"/>
                        </w:rPr>
                        <w:t>906</w:t>
                      </w:r>
                      <w:r>
                        <w:rPr>
                          <w:rFonts w:asciiTheme="majorHAnsi" w:hAnsiTheme="majorHAnsi"/>
                          <w:sz w:val="16"/>
                        </w:rPr>
                        <w:t>.</w:t>
                      </w:r>
                      <w:r>
                        <w:rPr>
                          <w:rFonts w:asciiTheme="majorHAnsi" w:hAnsiTheme="majorHAnsi"/>
                          <w:sz w:val="16"/>
                        </w:rPr>
                        <w:t>1</w:t>
                      </w:r>
                      <w:r>
                        <w:rPr>
                          <w:rFonts w:asciiTheme="majorHAnsi" w:hAnsiTheme="majorHAnsi"/>
                          <w:sz w:val="16"/>
                        </w:rPr>
                        <w:t>0</w:t>
                      </w:r>
                    </w:p>
                    <w:p>
                      <w:pPr>
                        <w:ind w:left="86"/>
                        <w:spacing w:line="228" w:lineRule="auto"/>
                        <w:rPr>
                          <w:sz w:val="16"/>
                        </w:rPr>
                      </w:pPr>
                    </w:p>
                    <w:p>
                      <w:pPr>
                        <w:ind w:left="-90"/>
                        <w:spacing w:line="228" w:lineRule="auto"/>
                        <w:rPr>
                          <w:i/>
                          <w:color w:val="0070C0"/>
                          <w:sz w:val="16"/>
                        </w:rPr>
                      </w:pPr>
                      <w:r>
                        <w:rPr>
                          <w:i/>
                          <w:color w:val="0070C0"/>
                          <w:sz w:val="16"/>
                        </w:rPr>
                        <w:t>Conflict of Interest:</w:t>
                      </w:r>
                    </w:p>
                    <w:p>
                      <w:pPr>
                        <w:ind w:left="86"/>
                        <w:spacing w:line="228" w:lineRule="auto"/>
                        <w:rPr>
                          <w:sz w:val="16"/>
                        </w:rPr>
                      </w:pPr>
                    </w:p>
                    <w:p>
                      <w:pPr>
                        <w:ind w:left="90"/>
                        <w:jc w:val="both"/>
                        <w:rPr>
                          <w:rFonts w:asciiTheme="majorHAnsi" w:hAnsiTheme="majorHAnsi"/>
                          <w:sz w:val="12"/>
                          <w:szCs w:val="20"/>
                        </w:rPr>
                      </w:pPr>
                      <w:r>
                        <w:rPr>
                          <w:rFonts w:asciiTheme="majorHAnsi" w:hAnsiTheme="majorHAnsi"/>
                          <w:sz w:val="16"/>
                        </w:rPr>
                        <w:t>Aerosol Research and Engineering Laboratories, Inc. have no affiliations with, or involvement in any capacity, with Radic8’s financial interests such as; membership, employment, stock ownership, or other equity interest.</w:t>
                      </w:r>
                    </w:p>
                    <w:p>
                      <w:pPr>
                        <w:ind w:left="86"/>
                        <w:spacing w:line="228" w:lineRule="auto"/>
                        <w:rPr>
                          <w:sz w:val="16"/>
                        </w:rPr>
                      </w:pPr>
                    </w:p>
                    <w:p>
                      <w:pPr>
                        <w:ind w:left="-90"/>
                        <w:spacing w:line="228" w:lineRule="auto"/>
                        <w:rPr>
                          <w:i/>
                          <w:color w:val="0070C0"/>
                          <w:sz w:val="16"/>
                        </w:rPr>
                      </w:pPr>
                      <w:r>
                        <w:rPr>
                          <w:i/>
                          <w:color w:val="0070C0"/>
                          <w:sz w:val="16"/>
                        </w:rPr>
                        <w:t>Other Reference Documents</w:t>
                      </w:r>
                      <w:r>
                        <w:rPr>
                          <w:i/>
                          <w:color w:val="0070C0"/>
                          <w:sz w:val="16"/>
                        </w:rPr>
                        <w:t>:</w:t>
                      </w:r>
                    </w:p>
                    <w:p>
                      <w:pPr>
                        <w:ind w:left="-90"/>
                        <w:spacing w:line="228" w:lineRule="auto"/>
                        <w:rPr>
                          <w:i/>
                          <w:color w:val="0070C0"/>
                          <w:sz w:val="16"/>
                        </w:rPr>
                      </w:pPr>
                    </w:p>
                    <w:p>
                      <w:pPr>
                        <w:ind w:left="90"/>
                        <w:spacing w:line="228" w:lineRule="auto"/>
                        <w:rPr>
                          <w:sz w:val="16"/>
                        </w:rPr>
                      </w:pPr>
                      <w:r>
                        <w:rPr>
                          <w:sz w:val="16"/>
                        </w:rPr>
                        <w:t>This document is one of 8 reports documenting the efficacy of the VKPro. The other 7 reports address each organism individually.</w:t>
                      </w:r>
                    </w:p>
                    <w:p>
                      <w:pPr>
                        <w:ind w:left="86"/>
                        <w:spacing w:line="228" w:lineRule="auto"/>
                        <w:rPr>
                          <w:sz w:val="16"/>
                        </w:rPr>
                      </w:pPr>
                    </w:p>
                    <w:p>
                      <w:pPr>
                        <w:ind w:left="86"/>
                        <w:spacing w:line="228" w:lineRule="auto"/>
                        <w:rPr>
                          <w:sz w:val="16"/>
                        </w:rPr>
                      </w:pPr>
                    </w:p>
                    <w:p>
                      <w:pPr>
                        <w:ind w:left="-90" w:right="90" w:firstLine="180"/>
                        <w:jc w:val="both"/>
                        <w:spacing w:line="216" w:lineRule="auto"/>
                        <w:rPr>
                          <w:sz w:val="16"/>
                          <w:szCs w:val="16"/>
                        </w:rPr>
                      </w:pPr>
                    </w:p>
                    <w:p>
                      <w:pPr>
                        <w:jc w:val="both"/>
                        <w:spacing w:line="216" w:lineRule="auto"/>
                        <w:rPr>
                          <w:sz w:val="16"/>
                          <w:szCs w:val="18"/>
                        </w:rPr>
                      </w:pPr>
                    </w:p>
                  </w:txbxContent>
                </v:textbox>
                <v:fill opacity="5242f"/>
                <v:stroke joinstyle="round"/>
              </v:rect>
            </w:pict>
          </mc:Fallback>
        </mc:AlternateContent>
      </w:r>
    </w:p>
    <w:p>
      <w:pPr>
        <w:jc w:val="both"/>
        <w:rPr>
          <w:rFonts w:asciiTheme="minorHAnsi" w:hAnsiTheme="minorHAnsi"/>
          <w:sz w:val="18"/>
          <w:szCs w:val="18"/>
        </w:rPr>
        <w:sectPr>
          <w:type w:val="continuous"/>
          <w:pgSz w:w="12240" w:h="15840" w:code="1"/>
          <w:pgMar w:top="1440" w:right="1080" w:bottom="720" w:left="1080" w:header="720" w:footer="432" w:gutter="0"/>
          <w:cols w:space="360" w:num="2" w:equalWidth="0">
            <w:col w:w="2520" w:space="360"/>
            <w:col w:w="7200"/>
          </w:cols>
          <w:docGrid w:linePitch="360"/>
        </w:sectPr>
      </w:pPr>
      <w:r>
        <w:rPr>
          <w:rFonts w:ascii="Arial" w:hAnsi="Arial" w:cs="Arial"/>
          <w:b/>
          <w:noProof/>
          <w:color w:val="EEECE1"/>
          <w:sz w:val="14"/>
        </w:rPr>
        <mc:AlternateContent>
          <mc:Choice Requires="wps">
            <w:drawing>
              <wp:inline distT="0" distB="0" distL="0" distR="0">
                <wp:extent cx="4567603" cy="5815330"/>
                <wp:effectExtent l="3175" t="3175" r="3175" b="3175"/>
                <wp:docPr id="1027" name="shape1027"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67603" cy="5815330"/>
                        </a:xfrm>
                        <a:prstGeom prst="rect">
                          <a:avLst/>
                        </a:prstGeom>
                        <a:solidFill>
                          <a:srgbClr val="00b0f0">
                            <a:alpha val="8000"/>
                          </a:srgb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both"/>
                              <w:rPr>
                                <w:color w:val="0070C0"/>
                                <w:sz w:val="14"/>
                                <w:spacing w:val="40"/>
                              </w:rPr>
                            </w:pPr>
                            <w:r>
                              <w:rPr>
                                <w:color w:val="0070C0"/>
                                <w:sz w:val="14"/>
                                <w:spacing w:val="40"/>
                              </w:rPr>
                              <w:t>ABSTRACT</w:t>
                            </w:r>
                          </w:p>
                          <w:p>
                            <w:pPr>
                              <w:ind w:left="-450"/>
                              <w:jc w:val="both"/>
                              <w:rPr>
                                <w:sz w:val="14"/>
                              </w:rPr>
                            </w:pPr>
                          </w:p>
                          <w:p>
                            <w:pPr>
                              <w:jc w:val="both"/>
                              <w:spacing w:line="19" w:lineRule="atLeast"/>
                              <w:rPr>
                                <w:rFonts w:ascii="Cambria" w:hAnsi="Cambria" w:cstheme="minorHAnsi"/>
                                <w:color w:val="0070C0"/>
                                <w:sz w:val="16"/>
                                <w:szCs w:val="18"/>
                              </w:rPr>
                            </w:pPr>
                            <w:r>
                              <w:rPr>
                                <w:i/>
                                <w:color w:val="0070C0"/>
                                <w:sz w:val="16"/>
                                <w:szCs w:val="18"/>
                              </w:rPr>
                              <w:t>Background:</w:t>
                            </w:r>
                            <w:r>
                              <w:rPr>
                                <w:rFonts w:ascii="Cambria" w:hAnsi="Cambria" w:cstheme="minorHAnsi"/>
                                <w:color w:val="0070C0"/>
                                <w:sz w:val="16"/>
                                <w:szCs w:val="18"/>
                              </w:rPr>
                              <w:t xml:space="preserve"> </w:t>
                            </w:r>
                            <w:r>
                              <w:rPr>
                                <w:rFonts w:ascii="Cambria" w:hAnsi="Cambria" w:cstheme="minorHAnsi"/>
                                <w:color w:val="0070C0"/>
                                <w:sz w:val="16"/>
                                <w:szCs w:val="18"/>
                              </w:rPr>
                              <w:t xml:space="preserve"> </w:t>
                            </w:r>
                          </w:p>
                          <w:p>
                            <w:pPr>
                              <w:ind w:firstLine="360"/>
                              <w:jc w:val="both"/>
                              <w:spacing w:line="19" w:lineRule="atLeast"/>
                              <w:rPr>
                                <w:rFonts w:ascii="Cambria" w:hAnsi="Cambria" w:cstheme="minorHAnsi"/>
                                <w:sz w:val="16"/>
                                <w:szCs w:val="18"/>
                              </w:rPr>
                            </w:pPr>
                            <w:r>
                              <w:rPr>
                                <w:rFonts w:ascii="Cambria" w:hAnsi="Cambria" w:cstheme="minorHAnsi"/>
                                <w:sz w:val="16"/>
                                <w:szCs w:val="18"/>
                              </w:rPr>
                              <w:t xml:space="preserve">Due to the high rate of infectious disease transmission through aerosol exposure to pathogenic microorganisms, systems designed to reduce the levels of airborne pathogens and other </w:t>
                            </w:r>
                            <w:r>
                              <w:rPr>
                                <w:rFonts w:ascii="Cambria" w:hAnsi="Cambria" w:cstheme="minorHAnsi"/>
                                <w:sz w:val="16"/>
                                <w:szCs w:val="18"/>
                              </w:rPr>
                              <w:t>contaminants,</w:t>
                            </w:r>
                            <w:r>
                              <w:rPr>
                                <w:rFonts w:ascii="Cambria" w:hAnsi="Cambria" w:cstheme="minorHAnsi"/>
                                <w:sz w:val="16"/>
                                <w:szCs w:val="18"/>
                              </w:rPr>
                              <w:t xml:space="preserve"> in room air have been attracting significant attention. This in-vitro study characterized the efficacy of </w:t>
                            </w:r>
                            <w:r>
                              <w:rPr>
                                <w:rFonts w:ascii="Cambria" w:hAnsi="Cambria" w:cstheme="minorHAnsi"/>
                                <w:sz w:val="16"/>
                                <w:szCs w:val="18"/>
                              </w:rPr>
                              <w:t xml:space="preserve">Radic8’s </w:t>
                            </w:r>
                            <w:r>
                              <w:rPr>
                                <w:rFonts w:ascii="Cambria" w:hAnsi="Cambria" w:cstheme="minorHAnsi"/>
                                <w:sz w:val="16"/>
                                <w:szCs w:val="18"/>
                              </w:rPr>
                              <w:t xml:space="preserve">VKPro, </w:t>
                            </w:r>
                            <w:r>
                              <w:rPr>
                                <w:rFonts w:ascii="Cambria" w:hAnsi="Cambria" w:cstheme="minorHAnsi"/>
                                <w:sz w:val="16"/>
                                <w:szCs w:val="18"/>
                              </w:rPr>
                              <w:t xml:space="preserve">air </w:t>
                            </w:r>
                            <w:r>
                              <w:rPr>
                                <w:rFonts w:ascii="Cambria" w:hAnsi="Cambria" w:cstheme="minorHAnsi"/>
                                <w:sz w:val="16"/>
                                <w:szCs w:val="18"/>
                              </w:rPr>
                              <w:t>purification</w:t>
                            </w:r>
                            <w:r>
                              <w:rPr>
                                <w:rFonts w:ascii="Cambria" w:hAnsi="Cambria" w:cstheme="minorHAnsi"/>
                                <w:sz w:val="16"/>
                                <w:szCs w:val="18"/>
                              </w:rPr>
                              <w:t xml:space="preserve"> system</w:t>
                            </w:r>
                            <w:r>
                              <w:rPr>
                                <w:rFonts w:ascii="Cambria" w:hAnsi="Cambria" w:cstheme="minorHAnsi"/>
                                <w:sz w:val="16"/>
                                <w:szCs w:val="18"/>
                              </w:rPr>
                              <w:t>,</w:t>
                            </w:r>
                            <w:r>
                              <w:rPr>
                                <w:rFonts w:ascii="Cambria" w:hAnsi="Cambria" w:cstheme="minorHAnsi"/>
                                <w:sz w:val="16"/>
                                <w:szCs w:val="18"/>
                              </w:rPr>
                              <w:t xml:space="preserve"> to reduce respirable bioaerosol levels for six broad-ranged species of microorganisms from </w:t>
                            </w:r>
                            <w:r>
                              <w:rPr>
                                <w:rFonts w:ascii="Cambria" w:hAnsi="Cambria" w:cstheme="minorHAnsi"/>
                                <w:sz w:val="16"/>
                                <w:szCs w:val="18"/>
                              </w:rPr>
                              <w:t>the air in a 16m</w:t>
                            </w:r>
                            <w:r>
                              <w:rPr>
                                <w:rFonts w:ascii="Cambria" w:hAnsi="Cambria" w:cstheme="minorHAnsi"/>
                                <w:sz w:val="16"/>
                                <w:szCs w:val="18"/>
                                <w:vertAlign w:val="superscript"/>
                              </w:rPr>
                              <w:t>3</w:t>
                            </w:r>
                            <w:r>
                              <w:rPr>
                                <w:rFonts w:ascii="Cambria" w:hAnsi="Cambria" w:cstheme="minorHAnsi"/>
                                <w:sz w:val="16"/>
                                <w:szCs w:val="18"/>
                              </w:rPr>
                              <w:t xml:space="preserve"> stainless steel bioaerosol chamber</w:t>
                            </w:r>
                            <w:r>
                              <w:rPr>
                                <w:rFonts w:ascii="Cambria" w:hAnsi="Cambria" w:cstheme="minorHAnsi"/>
                                <w:sz w:val="16"/>
                                <w:szCs w:val="18"/>
                              </w:rPr>
                              <w:t xml:space="preserve">. The species selected </w:t>
                            </w:r>
                            <w:r>
                              <w:rPr>
                                <w:rFonts w:ascii="Cambria" w:hAnsi="Cambria" w:cstheme="minorHAnsi"/>
                                <w:sz w:val="16"/>
                                <w:szCs w:val="18"/>
                              </w:rPr>
                              <w:t xml:space="preserve">for this study </w:t>
                            </w:r>
                            <w:r>
                              <w:rPr>
                                <w:rFonts w:ascii="Cambria" w:hAnsi="Cambria" w:cstheme="minorHAnsi"/>
                                <w:sz w:val="16"/>
                                <w:szCs w:val="18"/>
                              </w:rPr>
                              <w:t xml:space="preserve">are recognized surrogates for more dangerous pathogenic organisms.  In this study, the species tested were:  MS2, a non-enveloped </w:t>
                            </w:r>
                            <w:r>
                              <w:rPr>
                                <w:rFonts w:ascii="Cambria" w:hAnsi="Cambria" w:cstheme="minorHAnsi"/>
                                <w:sz w:val="16"/>
                                <w:szCs w:val="18"/>
                              </w:rPr>
                              <w:t>ss</w:t>
                            </w:r>
                            <w:r>
                              <w:rPr>
                                <w:rFonts w:ascii="Cambria" w:hAnsi="Cambria" w:cstheme="minorHAnsi"/>
                                <w:sz w:val="16"/>
                                <w:szCs w:val="18"/>
                              </w:rPr>
                              <w:t xml:space="preserve">RNA virus that is a common surrogate for influenza viruses and is a tentative surrogate for SARS-CoV-2; PhiX-174, a non-enveloped </w:t>
                            </w:r>
                            <w:r>
                              <w:rPr>
                                <w:rFonts w:ascii="Cambria" w:hAnsi="Cambria" w:cstheme="minorHAnsi"/>
                                <w:sz w:val="16"/>
                                <w:szCs w:val="18"/>
                              </w:rPr>
                              <w:t>ss</w:t>
                            </w:r>
                            <w:r>
                              <w:rPr>
                                <w:rFonts w:ascii="Cambria" w:hAnsi="Cambria" w:cstheme="minorHAnsi"/>
                                <w:sz w:val="16"/>
                                <w:szCs w:val="18"/>
                              </w:rPr>
                              <w:t>DNA virus, that is a surrogate for herpes</w:t>
                            </w:r>
                            <w:r>
                              <w:rPr>
                                <w:rFonts w:ascii="Cambria" w:hAnsi="Cambria" w:cstheme="minorHAnsi"/>
                                <w:sz w:val="16"/>
                                <w:szCs w:val="18"/>
                              </w:rPr>
                              <w:t xml:space="preserve"> simplex</w:t>
                            </w:r>
                            <w:r>
                              <w:rPr>
                                <w:rFonts w:ascii="Cambria" w:hAnsi="Cambria" w:cstheme="minorHAnsi"/>
                                <w:sz w:val="16"/>
                                <w:szCs w:val="18"/>
                              </w:rPr>
                              <w:t xml:space="preserve"> and smallpox viruses; Methicillin Resistant </w:t>
                            </w:r>
                            <w:r>
                              <w:rPr>
                                <w:rFonts w:ascii="Cambria" w:hAnsi="Cambria" w:cstheme="minorHAnsi"/>
                                <w:i/>
                                <w:sz w:val="16"/>
                                <w:szCs w:val="18"/>
                              </w:rPr>
                              <w:t>Staphylococcus epidermidis</w:t>
                            </w:r>
                            <w:r>
                              <w:rPr>
                                <w:rFonts w:ascii="Cambria" w:hAnsi="Cambria" w:cstheme="minorHAnsi"/>
                                <w:sz w:val="16"/>
                                <w:szCs w:val="18"/>
                              </w:rPr>
                              <w:t xml:space="preserve"> (MRSE), a gram-positive bacterium that serves as a surrogate for many pathogenic gram-positive bacteria, including Methicillin Resistant </w:t>
                            </w:r>
                            <w:r>
                              <w:rPr>
                                <w:rFonts w:ascii="Cambria" w:hAnsi="Cambria" w:cstheme="minorHAnsi"/>
                                <w:i/>
                                <w:sz w:val="16"/>
                                <w:szCs w:val="18"/>
                              </w:rPr>
                              <w:t>Staphylococcus aureus</w:t>
                            </w:r>
                            <w:r>
                              <w:rPr>
                                <w:rFonts w:ascii="Cambria" w:hAnsi="Cambria" w:cstheme="minorHAnsi"/>
                                <w:sz w:val="16"/>
                                <w:szCs w:val="18"/>
                              </w:rPr>
                              <w:t xml:space="preserve"> (MRSA); </w:t>
                            </w:r>
                            <w:r>
                              <w:rPr>
                                <w:rFonts w:ascii="Cambria" w:hAnsi="Cambria" w:cstheme="minorHAnsi"/>
                                <w:i/>
                                <w:sz w:val="16"/>
                                <w:szCs w:val="18"/>
                              </w:rPr>
                              <w:t>Pantoea agglomerans</w:t>
                            </w:r>
                            <w:r>
                              <w:rPr>
                                <w:rFonts w:ascii="Cambria" w:hAnsi="Cambria" w:cstheme="minorHAnsi"/>
                                <w:sz w:val="16"/>
                                <w:szCs w:val="18"/>
                              </w:rPr>
                              <w:t xml:space="preserve">, </w:t>
                            </w:r>
                            <w:r>
                              <w:rPr>
                                <w:rFonts w:ascii="Cambria" w:hAnsi="Cambria" w:cstheme="minorHAnsi"/>
                                <w:sz w:val="16"/>
                                <w:szCs w:val="18"/>
                              </w:rPr>
                              <w:t xml:space="preserve">previously known as </w:t>
                            </w:r>
                            <w:r>
                              <w:rPr>
                                <w:rFonts w:ascii="Cambria" w:hAnsi="Cambria" w:cstheme="minorHAnsi"/>
                                <w:i/>
                                <w:sz w:val="16"/>
                                <w:szCs w:val="18"/>
                              </w:rPr>
                              <w:t>Erwinia herbicola</w:t>
                            </w:r>
                            <w:r>
                              <w:rPr>
                                <w:rFonts w:ascii="Cambria" w:hAnsi="Cambria" w:cstheme="minorHAnsi"/>
                                <w:sz w:val="16"/>
                                <w:szCs w:val="18"/>
                              </w:rPr>
                              <w:t xml:space="preserve"> </w:t>
                            </w:r>
                            <w:r>
                              <w:rPr>
                                <w:rFonts w:ascii="Cambria" w:hAnsi="Cambria" w:cstheme="minorHAnsi"/>
                                <w:sz w:val="16"/>
                                <w:szCs w:val="18"/>
                              </w:rPr>
                              <w:t xml:space="preserve">a gram-negative bacterium that is a </w:t>
                            </w:r>
                            <w:r>
                              <w:rPr>
                                <w:rFonts w:ascii="Cambria" w:hAnsi="Cambria" w:cstheme="minorHAnsi"/>
                                <w:sz w:val="16"/>
                                <w:szCs w:val="18"/>
                              </w:rPr>
                              <w:t xml:space="preserve">surrogate for </w:t>
                            </w:r>
                            <w:r>
                              <w:rPr>
                                <w:rFonts w:ascii="Cambria" w:hAnsi="Cambria" w:cstheme="minorHAnsi"/>
                                <w:i/>
                                <w:sz w:val="16"/>
                                <w:szCs w:val="18"/>
                              </w:rPr>
                              <w:t>Yersinia pestis</w:t>
                            </w:r>
                            <w:r>
                              <w:rPr>
                                <w:rFonts w:ascii="Cambria" w:hAnsi="Cambria" w:cstheme="minorHAnsi"/>
                                <w:sz w:val="16"/>
                                <w:szCs w:val="18"/>
                              </w:rPr>
                              <w:t xml:space="preserve">; </w:t>
                            </w:r>
                            <w:r>
                              <w:rPr>
                                <w:rFonts w:ascii="Cambria" w:hAnsi="Cambria" w:cstheme="minorHAnsi"/>
                                <w:i/>
                                <w:sz w:val="16"/>
                                <w:szCs w:val="18"/>
                              </w:rPr>
                              <w:t>Bacillus subtilis</w:t>
                            </w:r>
                            <w:r>
                              <w:rPr>
                                <w:rFonts w:ascii="Cambria" w:hAnsi="Cambria" w:cstheme="minorHAnsi"/>
                                <w:sz w:val="16"/>
                                <w:szCs w:val="18"/>
                              </w:rPr>
                              <w:t xml:space="preserve"> </w:t>
                            </w:r>
                            <w:r>
                              <w:rPr>
                                <w:rFonts w:ascii="Cambria" w:hAnsi="Cambria" w:cstheme="minorHAnsi"/>
                                <w:sz w:val="16"/>
                                <w:szCs w:val="18"/>
                              </w:rPr>
                              <w:t xml:space="preserve">bacterial </w:t>
                            </w:r>
                            <w:r>
                              <w:rPr>
                                <w:rFonts w:ascii="Cambria" w:hAnsi="Cambria" w:cstheme="minorHAnsi"/>
                                <w:sz w:val="16"/>
                                <w:szCs w:val="18"/>
                              </w:rPr>
                              <w:t xml:space="preserve">endospores, which serve as a model for the many bacterial species that produce highly resistant endospores; and the spores from </w:t>
                            </w:r>
                            <w:r>
                              <w:rPr>
                                <w:rFonts w:ascii="Cambria" w:hAnsi="Cambria" w:cstheme="minorHAnsi"/>
                                <w:i/>
                                <w:sz w:val="16"/>
                                <w:szCs w:val="18"/>
                              </w:rPr>
                              <w:t>Aspergillus brasiliensis</w:t>
                            </w:r>
                            <w:r>
                              <w:rPr>
                                <w:rFonts w:ascii="Cambria" w:hAnsi="Cambria" w:cstheme="minorHAnsi"/>
                                <w:sz w:val="16"/>
                                <w:szCs w:val="18"/>
                              </w:rPr>
                              <w:t>, one of the most common sources of toxic black mold.</w:t>
                            </w:r>
                          </w:p>
                          <w:p>
                            <w:pPr>
                              <w:jc w:val="both"/>
                              <w:spacing w:line="19" w:lineRule="atLeast"/>
                              <w:rPr>
                                <w:rFonts w:ascii="Cambria" w:hAnsi="Cambria" w:cstheme="minorHAnsi"/>
                                <w:sz w:val="18"/>
                                <w:szCs w:val="18"/>
                              </w:rPr>
                            </w:pPr>
                          </w:p>
                          <w:p>
                            <w:pPr>
                              <w:ind w:firstLine="360"/>
                              <w:jc w:val="both"/>
                              <w:spacing w:line="19" w:lineRule="atLeast"/>
                              <w:rPr>
                                <w:rFonts w:ascii="Cambria" w:hAnsi="Cambria" w:cstheme="minorHAnsi"/>
                                <w:sz w:val="16"/>
                                <w:szCs w:val="18"/>
                              </w:rPr>
                            </w:pPr>
                            <w:r>
                              <w:rPr>
                                <w:rFonts w:ascii="Cambria" w:hAnsi="Cambria" w:cstheme="minorHAnsi"/>
                                <w:sz w:val="16"/>
                                <w:szCs w:val="18"/>
                              </w:rPr>
                              <w:t xml:space="preserve">This report is for the VKPro, which is one of two devices (VKPro and </w:t>
                            </w:r>
                            <w:r>
                              <w:rPr>
                                <w:rFonts w:ascii="Cambria" w:hAnsi="Cambria" w:cstheme="minorHAnsi"/>
                                <w:sz w:val="16"/>
                                <w:szCs w:val="18"/>
                              </w:rPr>
                              <w:t>VKAir</w:t>
                            </w:r>
                            <w:r>
                              <w:rPr>
                                <w:rFonts w:ascii="Cambria" w:hAnsi="Cambria" w:cstheme="minorHAnsi"/>
                                <w:sz w:val="16"/>
                                <w:szCs w:val="18"/>
                              </w:rPr>
                              <w:t xml:space="preserve">) tested for Radic8. This study was done to test the commercial production versions of these two Radic8 models for their efficacy, for air purification, against six organisms. All devices were tested at the highest fan speed. </w:t>
                            </w:r>
                          </w:p>
                          <w:p>
                            <w:pPr>
                              <w:jc w:val="both"/>
                              <w:spacing w:line="19" w:lineRule="atLeast"/>
                              <w:rPr>
                                <w:rFonts w:ascii="Cambria" w:hAnsi="Cambria" w:cstheme="minorHAnsi"/>
                                <w:sz w:val="16"/>
                                <w:szCs w:val="18"/>
                              </w:rPr>
                            </w:pPr>
                          </w:p>
                          <w:p>
                            <w:pPr>
                              <w:jc w:val="both"/>
                              <w:spacing w:line="19" w:lineRule="atLeast"/>
                              <w:rPr>
                                <w:rFonts w:ascii="Cambria" w:hAnsi="Cambria" w:cstheme="minorHAnsi"/>
                                <w:color w:val="0070C0"/>
                                <w:sz w:val="16"/>
                                <w:szCs w:val="18"/>
                              </w:rPr>
                            </w:pPr>
                            <w:r>
                              <w:rPr>
                                <w:i/>
                                <w:color w:val="0070C0"/>
                                <w:sz w:val="16"/>
                                <w:szCs w:val="18"/>
                              </w:rPr>
                              <w:t>Methods:</w:t>
                            </w:r>
                            <w:r>
                              <w:rPr>
                                <w:rFonts w:ascii="Cambria" w:hAnsi="Cambria" w:cstheme="minorHAnsi"/>
                                <w:color w:val="0070C0"/>
                                <w:sz w:val="16"/>
                                <w:szCs w:val="18"/>
                              </w:rPr>
                              <w:t xml:space="preserve"> </w:t>
                            </w:r>
                          </w:p>
                          <w:p>
                            <w:pPr>
                              <w:ind w:firstLine="360"/>
                              <w:jc w:val="both"/>
                              <w:spacing w:line="19" w:lineRule="atLeast"/>
                              <w:rPr>
                                <w:rFonts w:ascii="Cambria" w:hAnsi="Cambria" w:cstheme="minorHAnsi"/>
                                <w:sz w:val="16"/>
                                <w:szCs w:val="18"/>
                              </w:rPr>
                            </w:pPr>
                            <w:r>
                              <w:rPr>
                                <w:rFonts w:ascii="Cambria" w:hAnsi="Cambria" w:cstheme="minorHAnsi"/>
                                <w:sz w:val="16"/>
                                <w:szCs w:val="18"/>
                              </w:rPr>
                              <w:t xml:space="preserve">Each microorganism was aerosolized into a sealed </w:t>
                            </w:r>
                            <w:r>
                              <w:rPr>
                                <w:rFonts w:ascii="Cambria" w:hAnsi="Cambria" w:cstheme="minorHAnsi"/>
                                <w:sz w:val="16"/>
                                <w:szCs w:val="18"/>
                              </w:rPr>
                              <w:t>16m</w:t>
                            </w:r>
                            <w:r>
                              <w:rPr>
                                <w:rFonts w:ascii="Cambria" w:hAnsi="Cambria" w:cstheme="minorHAnsi"/>
                                <w:sz w:val="16"/>
                                <w:szCs w:val="18"/>
                                <w:vertAlign w:val="superscript"/>
                              </w:rPr>
                              <w:t>3</w:t>
                            </w:r>
                            <w:r>
                              <w:rPr>
                                <w:rFonts w:ascii="Cambria" w:hAnsi="Cambria" w:cstheme="minorHAnsi"/>
                                <w:sz w:val="16"/>
                                <w:szCs w:val="18"/>
                              </w:rPr>
                              <w:t xml:space="preserve"> </w:t>
                            </w:r>
                            <w:r>
                              <w:rPr>
                                <w:rFonts w:ascii="Cambria" w:hAnsi="Cambria" w:cstheme="minorHAnsi"/>
                                <w:sz w:val="16"/>
                                <w:szCs w:val="18"/>
                              </w:rPr>
                              <w:t xml:space="preserve">environmental bioaerosol chamber, containing the </w:t>
                            </w:r>
                            <w:r>
                              <w:rPr>
                                <w:rFonts w:ascii="Cambria" w:hAnsi="Cambria" w:cstheme="minorHAnsi"/>
                                <w:sz w:val="16"/>
                                <w:szCs w:val="18"/>
                              </w:rPr>
                              <w:t>Radic8</w:t>
                            </w:r>
                            <w:r>
                              <w:rPr>
                                <w:rFonts w:ascii="Cambria" w:hAnsi="Cambria" w:cstheme="minorHAnsi"/>
                                <w:sz w:val="16"/>
                                <w:szCs w:val="18"/>
                              </w:rPr>
                              <w:t xml:space="preserve"> VKPro</w:t>
                            </w:r>
                            <w:r>
                              <w:rPr>
                                <w:rFonts w:ascii="Cambria" w:hAnsi="Cambria" w:cstheme="minorHAnsi"/>
                                <w:sz w:val="16"/>
                                <w:szCs w:val="18"/>
                              </w:rPr>
                              <w:t xml:space="preserve">, using a Collison 24-Jet Nebulizer or dry powder </w:t>
                            </w:r>
                            <w:r>
                              <w:rPr>
                                <w:rFonts w:ascii="Cambria" w:hAnsi="Cambria" w:cstheme="minorHAnsi"/>
                                <w:sz w:val="16"/>
                                <w:szCs w:val="18"/>
                              </w:rPr>
                              <w:t>eductor</w:t>
                            </w:r>
                            <w:r>
                              <w:rPr>
                                <w:rFonts w:ascii="Cambria" w:hAnsi="Cambria" w:cstheme="minorHAnsi"/>
                                <w:sz w:val="16"/>
                                <w:szCs w:val="18"/>
                              </w:rPr>
                              <w:t>. All the bioaerosols had a mass median aerodynamic diameter (MMAD) ranging from 0.7-4.0 µm (species dependent). Bioaerosol samples were taken at multiple time points throughout each trial, in order to quantify the reduction rate capability of the air purification device. Impinger samples were serially diluted, plated, incubated, and enumerated in triplicate to yield viable bioaerosol concentration for each sampling point. Chamber control trial data, or natural decay, was subtracted from the device trial data to yield the net LOG reduction for each of the bioaerosol challenges.</w:t>
                            </w:r>
                            <w:r>
                              <w:rPr>
                                <w:rFonts w:ascii="Cambria" w:hAnsi="Cambria" w:cstheme="minorHAnsi"/>
                                <w:sz w:val="16"/>
                                <w:szCs w:val="18"/>
                              </w:rPr>
                              <w:t xml:space="preserve"> Additionally viable cascades, run at 30 L/min, were used to further resolve the lower detection limits achieved by the Radic8 device. </w:t>
                            </w:r>
                          </w:p>
                          <w:p>
                            <w:pPr>
                              <w:jc w:val="both"/>
                              <w:spacing w:line="19" w:lineRule="atLeast"/>
                              <w:rPr>
                                <w:rFonts w:ascii="Cambria" w:hAnsi="Cambria" w:cstheme="minorHAnsi"/>
                                <w:sz w:val="18"/>
                                <w:szCs w:val="18"/>
                              </w:rPr>
                            </w:pPr>
                          </w:p>
                          <w:p>
                            <w:pPr>
                              <w:jc w:val="both"/>
                              <w:spacing w:line="19" w:lineRule="atLeast"/>
                              <w:rPr>
                                <w:color w:val="0070C0"/>
                                <w:sz w:val="16"/>
                                <w:szCs w:val="18"/>
                              </w:rPr>
                            </w:pPr>
                            <w:r>
                              <w:rPr>
                                <w:i/>
                                <w:color w:val="0070C0"/>
                                <w:sz w:val="16"/>
                                <w:szCs w:val="18"/>
                              </w:rPr>
                              <w:t>Results:</w:t>
                            </w:r>
                            <w:r>
                              <w:rPr>
                                <w:color w:val="0070C0"/>
                                <w:sz w:val="16"/>
                                <w:szCs w:val="18"/>
                              </w:rPr>
                              <w:t xml:space="preserve"> </w:t>
                            </w:r>
                          </w:p>
                          <w:p>
                            <w:pPr>
                              <w:ind w:firstLine="360"/>
                              <w:jc w:val="both"/>
                              <w:spacing w:line="19" w:lineRule="atLeast"/>
                              <w:rPr>
                                <w:sz w:val="16"/>
                                <w:szCs w:val="18"/>
                              </w:rPr>
                            </w:pPr>
                            <w:r>
                              <w:rPr>
                                <w:sz w:val="16"/>
                                <w:szCs w:val="18"/>
                              </w:rPr>
                              <w:t xml:space="preserve">The Radic8 VKPro, on the highest fan speed, was effective at reducing all of the tested bioaerosols by a minimum net log of 4.0 or </w:t>
                            </w:r>
                            <w:r>
                              <w:rPr>
                                <w:rFonts w:ascii="Cambria" w:hAnsi="Cambria" w:cstheme="minorHAnsi"/>
                                <w:sz w:val="16"/>
                                <w:szCs w:val="18"/>
                              </w:rPr>
                              <w:t xml:space="preserve">greater (equivalent to 99.99% </w:t>
                            </w:r>
                            <w:r>
                              <w:rPr>
                                <w:rFonts w:ascii="Cambria" w:hAnsi="Cambria" w:cstheme="minorHAnsi"/>
                                <w:sz w:val="16"/>
                                <w:szCs w:val="18"/>
                              </w:rPr>
                              <w:t>reduction</w:t>
                            </w:r>
                            <w:r>
                              <w:rPr>
                                <w:rFonts w:ascii="Cambria" w:hAnsi="Cambria" w:cstheme="minorHAnsi"/>
                                <w:sz w:val="16"/>
                                <w:szCs w:val="18"/>
                              </w:rPr>
                              <w:t>)</w:t>
                            </w:r>
                            <w:r>
                              <w:rPr>
                                <w:rFonts w:ascii="Cambria" w:hAnsi="Cambria" w:cstheme="minorHAnsi"/>
                                <w:sz w:val="16"/>
                                <w:szCs w:val="18"/>
                              </w:rPr>
                              <w:t xml:space="preserve"> within 90 minutes or less</w:t>
                            </w:r>
                            <w:r>
                              <w:rPr>
                                <w:sz w:val="16"/>
                                <w:szCs w:val="18"/>
                              </w:rPr>
                              <w:t xml:space="preserve">. All of the tested organisms surpassed this threshold by at least 1 log at the end of testing. This report will present test results for all of the tested organisms </w:t>
                            </w:r>
                          </w:p>
                          <w:p>
                            <w:pPr>
                              <w:jc w:val="both"/>
                              <w:spacing w:line="19" w:lineRule="atLeast"/>
                              <w:rPr>
                                <w:rFonts w:ascii="Cambria" w:hAnsi="Cambria" w:cstheme="minorHAnsi"/>
                                <w:sz w:val="16"/>
                                <w:szCs w:val="18"/>
                              </w:rPr>
                            </w:pPr>
                          </w:p>
                          <w:p>
                            <w:pPr>
                              <w:jc w:val="both"/>
                              <w:spacing w:line="19" w:lineRule="atLeast"/>
                              <w:rPr>
                                <w:rFonts w:ascii="Cambria" w:hAnsi="Cambria" w:cstheme="minorHAnsi"/>
                                <w:i/>
                                <w:color w:val="0070C0"/>
                                <w:sz w:val="16"/>
                                <w:szCs w:val="18"/>
                              </w:rPr>
                            </w:pPr>
                            <w:r>
                              <w:rPr>
                                <w:rFonts w:ascii="Cambria" w:hAnsi="Cambria" w:cstheme="minorHAnsi"/>
                                <w:i/>
                                <w:color w:val="0070C0"/>
                                <w:sz w:val="16"/>
                                <w:szCs w:val="18"/>
                              </w:rPr>
                              <w:t xml:space="preserve">Conclusions: </w:t>
                            </w:r>
                          </w:p>
                          <w:p>
                            <w:pPr>
                              <w:ind w:firstLine="360"/>
                              <w:jc w:val="both"/>
                              <w:spacing w:line="19" w:lineRule="atLeast"/>
                              <w:rPr>
                                <w:rFonts w:ascii="Cambria" w:hAnsi="Cambria" w:cstheme="minorHAnsi"/>
                                <w:sz w:val="16"/>
                                <w:szCs w:val="18"/>
                              </w:rPr>
                            </w:pPr>
                            <w:r>
                              <w:rPr>
                                <w:rFonts w:ascii="Cambria" w:hAnsi="Cambria" w:cstheme="minorHAnsi"/>
                                <w:sz w:val="16"/>
                                <w:szCs w:val="18"/>
                              </w:rPr>
                              <w:t xml:space="preserve">The </w:t>
                            </w:r>
                            <w:r>
                              <w:rPr>
                                <w:rFonts w:ascii="Cambria" w:hAnsi="Cambria" w:cstheme="minorHAnsi"/>
                                <w:sz w:val="16"/>
                                <w:szCs w:val="18"/>
                              </w:rPr>
                              <w:t>VKPro</w:t>
                            </w:r>
                            <w:r>
                              <w:rPr>
                                <w:rFonts w:ascii="Cambria" w:hAnsi="Cambria" w:cstheme="minorHAnsi"/>
                                <w:sz w:val="16"/>
                                <w:szCs w:val="18"/>
                              </w:rPr>
                              <w:t xml:space="preserve"> is extremely adept at removing bioaerosols from a given room. Within 60 min of operating, the </w:t>
                            </w:r>
                            <w:r>
                              <w:rPr>
                                <w:rFonts w:ascii="Cambria" w:hAnsi="Cambria" w:cstheme="minorHAnsi"/>
                                <w:sz w:val="16"/>
                                <w:szCs w:val="18"/>
                              </w:rPr>
                              <w:t>VKPro</w:t>
                            </w:r>
                            <w:r>
                              <w:rPr>
                                <w:rFonts w:ascii="Cambria" w:hAnsi="Cambria" w:cstheme="minorHAnsi"/>
                                <w:sz w:val="16"/>
                                <w:szCs w:val="18"/>
                              </w:rPr>
                              <w:t xml:space="preserve"> had removed </w:t>
                            </w:r>
                            <w:r>
                              <w:rPr>
                                <w:rFonts w:ascii="Cambria" w:hAnsi="Cambria" w:cstheme="minorHAnsi"/>
                                <w:sz w:val="16"/>
                                <w:szCs w:val="18"/>
                              </w:rPr>
                              <w:t>&gt;</w:t>
                            </w:r>
                            <w:r>
                              <w:rPr>
                                <w:rFonts w:ascii="Cambria" w:hAnsi="Cambria" w:cstheme="minorHAnsi"/>
                                <w:sz w:val="16"/>
                                <w:szCs w:val="18"/>
                              </w:rPr>
                              <w:t>4.</w:t>
                            </w:r>
                            <w:r>
                              <w:rPr>
                                <w:rFonts w:ascii="Cambria" w:hAnsi="Cambria" w:cstheme="minorHAnsi"/>
                                <w:sz w:val="16"/>
                                <w:szCs w:val="18"/>
                              </w:rPr>
                              <w:t>0</w:t>
                            </w:r>
                            <w:r>
                              <w:rPr>
                                <w:rFonts w:ascii="Cambria" w:hAnsi="Cambria" w:cstheme="minorHAnsi"/>
                                <w:sz w:val="16"/>
                                <w:szCs w:val="18"/>
                              </w:rPr>
                              <w:t xml:space="preserve"> </w:t>
                            </w:r>
                            <w:r>
                              <w:rPr>
                                <w:rFonts w:ascii="Cambria" w:hAnsi="Cambria" w:cstheme="minorHAnsi"/>
                                <w:sz w:val="16"/>
                                <w:szCs w:val="18"/>
                              </w:rPr>
                              <w:t xml:space="preserve">Net Log </w:t>
                            </w:r>
                            <w:r>
                              <w:rPr>
                                <w:rFonts w:ascii="Cambria" w:hAnsi="Cambria" w:cstheme="minorHAnsi"/>
                                <w:sz w:val="16"/>
                                <w:szCs w:val="18"/>
                              </w:rPr>
                              <w:t xml:space="preserve">of </w:t>
                            </w:r>
                            <w:r>
                              <w:rPr>
                                <w:rFonts w:ascii="Cambria" w:hAnsi="Cambria" w:cstheme="minorHAnsi"/>
                                <w:i/>
                                <w:sz w:val="16"/>
                                <w:szCs w:val="18"/>
                              </w:rPr>
                              <w:t>Staphylococcus epidermidis</w:t>
                            </w:r>
                            <w:r>
                              <w:rPr>
                                <w:rFonts w:ascii="Cambria" w:hAnsi="Cambria" w:cstheme="minorHAnsi"/>
                                <w:sz w:val="16"/>
                                <w:szCs w:val="18"/>
                              </w:rPr>
                              <w:t xml:space="preserve"> and MS2 from the test chamber. Additionally the other tested organisms were removed at &gt;4.0 Net Log at the 90 min mark minus </w:t>
                            </w:r>
                            <w:r>
                              <w:rPr>
                                <w:rFonts w:ascii="Cambria" w:hAnsi="Cambria" w:cstheme="minorHAnsi"/>
                                <w:i/>
                                <w:sz w:val="16"/>
                                <w:szCs w:val="18"/>
                              </w:rPr>
                              <w:t xml:space="preserve">Pantoea agglomerans </w:t>
                            </w:r>
                            <w:r>
                              <w:rPr>
                                <w:rFonts w:ascii="Cambria" w:hAnsi="Cambria" w:cstheme="minorHAnsi"/>
                                <w:sz w:val="16"/>
                                <w:szCs w:val="18"/>
                              </w:rPr>
                              <w:t>which took 120 min to reach the &gt;4.0 Net Log reduction. Given the level of reduction of the</w:t>
                            </w:r>
                            <w:r>
                              <w:rPr>
                                <w:rFonts w:ascii="Cambria" w:hAnsi="Cambria" w:cstheme="minorHAnsi"/>
                                <w:sz w:val="16"/>
                                <w:szCs w:val="18"/>
                              </w:rPr>
                              <w:t>se</w:t>
                            </w:r>
                            <w:r>
                              <w:rPr>
                                <w:rFonts w:ascii="Cambria" w:hAnsi="Cambria" w:cstheme="minorHAnsi"/>
                                <w:sz w:val="16"/>
                                <w:szCs w:val="18"/>
                              </w:rPr>
                              <w:t xml:space="preserve"> </w:t>
                            </w:r>
                            <w:r>
                              <w:rPr>
                                <w:rFonts w:ascii="Cambria" w:hAnsi="Cambria" w:cstheme="minorHAnsi"/>
                                <w:sz w:val="16"/>
                                <w:szCs w:val="18"/>
                              </w:rPr>
                              <w:t>organisms</w:t>
                            </w:r>
                            <w:r>
                              <w:rPr>
                                <w:rFonts w:ascii="Cambria" w:hAnsi="Cambria" w:cstheme="minorHAnsi"/>
                                <w:sz w:val="16"/>
                                <w:szCs w:val="18"/>
                              </w:rPr>
                              <w:t>, conclusions can be drawn about how is device would work against more dangerous pathogens the have similar characteristics to our surrogate test organisms.</w:t>
                            </w:r>
                          </w:p>
                        </w:txbxContent>
                      </wps:txbx>
                      <wps:bodyPr rot="0" vert="horz" wrap="square" lIns="91440" tIns="45720" rIns="91440" bIns="45720" anchor="t">
                        <a:noAutofit/>
                      </wps:bodyPr>
                    </wps:wsp>
                  </a:graphicData>
                </a:graphic>
              </wp:inline>
            </w:drawing>
          </mc:Choice>
          <mc:Fallback>
            <w:pict>
              <v:rect id="1027" style="margin-left:0pt;margin-top:0pt;width:359.654pt;height:457.9pt;mso-position-horizontal-relative:column;mso-position-vertical-relative:line;v-text-anchor:top;mso-wrap-style:square;z-index:0" o:allowincell="t" filled="t" fillcolor="#00b0f0" stroked="t" strokecolor="#0" strokeweight="0.5pt">
                <v:textbox inset="2.5mm,1.3mm,2.5mm,1.3mm">
                  <w:txbxContent>
                    <w:p>
                      <w:pPr>
                        <w:jc w:val="both"/>
                        <w:rPr>
                          <w:color w:val="0070C0"/>
                          <w:sz w:val="14"/>
                          <w:spacing w:val="40"/>
                        </w:rPr>
                      </w:pPr>
                      <w:r>
                        <w:rPr>
                          <w:color w:val="0070C0"/>
                          <w:sz w:val="14"/>
                          <w:spacing w:val="40"/>
                        </w:rPr>
                        <w:t>ABSTRACT</w:t>
                      </w:r>
                    </w:p>
                    <w:p>
                      <w:pPr>
                        <w:ind w:left="-450"/>
                        <w:jc w:val="both"/>
                        <w:rPr>
                          <w:sz w:val="14"/>
                        </w:rPr>
                      </w:pPr>
                    </w:p>
                    <w:p>
                      <w:pPr>
                        <w:jc w:val="both"/>
                        <w:spacing w:line="19" w:lineRule="atLeast"/>
                        <w:rPr>
                          <w:rFonts w:ascii="Cambria" w:hAnsi="Cambria" w:cstheme="minorHAnsi"/>
                          <w:color w:val="0070C0"/>
                          <w:sz w:val="16"/>
                          <w:szCs w:val="18"/>
                        </w:rPr>
                      </w:pPr>
                      <w:r>
                        <w:rPr>
                          <w:i/>
                          <w:color w:val="0070C0"/>
                          <w:sz w:val="16"/>
                          <w:szCs w:val="18"/>
                        </w:rPr>
                        <w:t>Background:</w:t>
                      </w:r>
                      <w:r>
                        <w:rPr>
                          <w:rFonts w:ascii="Cambria" w:hAnsi="Cambria" w:cstheme="minorHAnsi"/>
                          <w:color w:val="0070C0"/>
                          <w:sz w:val="16"/>
                          <w:szCs w:val="18"/>
                        </w:rPr>
                        <w:t xml:space="preserve"> </w:t>
                      </w:r>
                      <w:r>
                        <w:rPr>
                          <w:rFonts w:ascii="Cambria" w:hAnsi="Cambria" w:cstheme="minorHAnsi"/>
                          <w:color w:val="0070C0"/>
                          <w:sz w:val="16"/>
                          <w:szCs w:val="18"/>
                        </w:rPr>
                        <w:t xml:space="preserve"> </w:t>
                      </w:r>
                    </w:p>
                    <w:p>
                      <w:pPr>
                        <w:ind w:firstLine="360"/>
                        <w:jc w:val="both"/>
                        <w:spacing w:line="19" w:lineRule="atLeast"/>
                        <w:rPr>
                          <w:rFonts w:ascii="Cambria" w:hAnsi="Cambria" w:cstheme="minorHAnsi"/>
                          <w:sz w:val="16"/>
                          <w:szCs w:val="18"/>
                        </w:rPr>
                      </w:pPr>
                      <w:r>
                        <w:rPr>
                          <w:rFonts w:ascii="Cambria" w:hAnsi="Cambria" w:cstheme="minorHAnsi"/>
                          <w:sz w:val="16"/>
                          <w:szCs w:val="18"/>
                        </w:rPr>
                        <w:t xml:space="preserve">Due to the high rate of infectious disease transmission through aerosol exposure to pathogenic microorganisms, systems designed to reduce the levels of airborne pathogens and other </w:t>
                      </w:r>
                      <w:r>
                        <w:rPr>
                          <w:rFonts w:ascii="Cambria" w:hAnsi="Cambria" w:cstheme="minorHAnsi"/>
                          <w:sz w:val="16"/>
                          <w:szCs w:val="18"/>
                        </w:rPr>
                        <w:t>contaminants,</w:t>
                      </w:r>
                      <w:r>
                        <w:rPr>
                          <w:rFonts w:ascii="Cambria" w:hAnsi="Cambria" w:cstheme="minorHAnsi"/>
                          <w:sz w:val="16"/>
                          <w:szCs w:val="18"/>
                        </w:rPr>
                        <w:t xml:space="preserve"> in room air have been attracting significant attention. This in-vitro study characterized the efficacy of </w:t>
                      </w:r>
                      <w:r>
                        <w:rPr>
                          <w:rFonts w:ascii="Cambria" w:hAnsi="Cambria" w:cstheme="minorHAnsi"/>
                          <w:sz w:val="16"/>
                          <w:szCs w:val="18"/>
                        </w:rPr>
                        <w:t xml:space="preserve">Radic8’s </w:t>
                      </w:r>
                      <w:r>
                        <w:rPr>
                          <w:rFonts w:ascii="Cambria" w:hAnsi="Cambria" w:cstheme="minorHAnsi"/>
                          <w:sz w:val="16"/>
                          <w:szCs w:val="18"/>
                        </w:rPr>
                        <w:t xml:space="preserve">VKPro, </w:t>
                      </w:r>
                      <w:r>
                        <w:rPr>
                          <w:rFonts w:ascii="Cambria" w:hAnsi="Cambria" w:cstheme="minorHAnsi"/>
                          <w:sz w:val="16"/>
                          <w:szCs w:val="18"/>
                        </w:rPr>
                        <w:t xml:space="preserve">air </w:t>
                      </w:r>
                      <w:r>
                        <w:rPr>
                          <w:rFonts w:ascii="Cambria" w:hAnsi="Cambria" w:cstheme="minorHAnsi"/>
                          <w:sz w:val="16"/>
                          <w:szCs w:val="18"/>
                        </w:rPr>
                        <w:t>purification</w:t>
                      </w:r>
                      <w:r>
                        <w:rPr>
                          <w:rFonts w:ascii="Cambria" w:hAnsi="Cambria" w:cstheme="minorHAnsi"/>
                          <w:sz w:val="16"/>
                          <w:szCs w:val="18"/>
                        </w:rPr>
                        <w:t xml:space="preserve"> system</w:t>
                      </w:r>
                      <w:r>
                        <w:rPr>
                          <w:rFonts w:ascii="Cambria" w:hAnsi="Cambria" w:cstheme="minorHAnsi"/>
                          <w:sz w:val="16"/>
                          <w:szCs w:val="18"/>
                        </w:rPr>
                        <w:t>,</w:t>
                      </w:r>
                      <w:r>
                        <w:rPr>
                          <w:rFonts w:ascii="Cambria" w:hAnsi="Cambria" w:cstheme="minorHAnsi"/>
                          <w:sz w:val="16"/>
                          <w:szCs w:val="18"/>
                        </w:rPr>
                        <w:t xml:space="preserve"> to reduce respirable bioaerosol levels for six broad-ranged species of microorganisms from </w:t>
                      </w:r>
                      <w:r>
                        <w:rPr>
                          <w:rFonts w:ascii="Cambria" w:hAnsi="Cambria" w:cstheme="minorHAnsi"/>
                          <w:sz w:val="16"/>
                          <w:szCs w:val="18"/>
                        </w:rPr>
                        <w:t>the air in a 16m</w:t>
                      </w:r>
                      <w:r>
                        <w:rPr>
                          <w:rFonts w:ascii="Cambria" w:hAnsi="Cambria" w:cstheme="minorHAnsi"/>
                          <w:sz w:val="16"/>
                          <w:szCs w:val="18"/>
                          <w:vertAlign w:val="superscript"/>
                        </w:rPr>
                        <w:t>3</w:t>
                      </w:r>
                      <w:r>
                        <w:rPr>
                          <w:rFonts w:ascii="Cambria" w:hAnsi="Cambria" w:cstheme="minorHAnsi"/>
                          <w:sz w:val="16"/>
                          <w:szCs w:val="18"/>
                        </w:rPr>
                        <w:t xml:space="preserve"> stainless steel bioaerosol chamber</w:t>
                      </w:r>
                      <w:r>
                        <w:rPr>
                          <w:rFonts w:ascii="Cambria" w:hAnsi="Cambria" w:cstheme="minorHAnsi"/>
                          <w:sz w:val="16"/>
                          <w:szCs w:val="18"/>
                        </w:rPr>
                        <w:t xml:space="preserve">. The species selected </w:t>
                      </w:r>
                      <w:r>
                        <w:rPr>
                          <w:rFonts w:ascii="Cambria" w:hAnsi="Cambria" w:cstheme="minorHAnsi"/>
                          <w:sz w:val="16"/>
                          <w:szCs w:val="18"/>
                        </w:rPr>
                        <w:t xml:space="preserve">for this study </w:t>
                      </w:r>
                      <w:r>
                        <w:rPr>
                          <w:rFonts w:ascii="Cambria" w:hAnsi="Cambria" w:cstheme="minorHAnsi"/>
                          <w:sz w:val="16"/>
                          <w:szCs w:val="18"/>
                        </w:rPr>
                        <w:t xml:space="preserve">are recognized surrogates for more dangerous pathogenic organisms.  In this study, the species tested were:  MS2, a non-enveloped </w:t>
                      </w:r>
                      <w:r>
                        <w:rPr>
                          <w:rFonts w:ascii="Cambria" w:hAnsi="Cambria" w:cstheme="minorHAnsi"/>
                          <w:sz w:val="16"/>
                          <w:szCs w:val="18"/>
                        </w:rPr>
                        <w:t>ss</w:t>
                      </w:r>
                      <w:r>
                        <w:rPr>
                          <w:rFonts w:ascii="Cambria" w:hAnsi="Cambria" w:cstheme="minorHAnsi"/>
                          <w:sz w:val="16"/>
                          <w:szCs w:val="18"/>
                        </w:rPr>
                        <w:t xml:space="preserve">RNA virus that is a common surrogate for influenza viruses and is a tentative surrogate for SARS-CoV-2; PhiX-174, a non-enveloped </w:t>
                      </w:r>
                      <w:r>
                        <w:rPr>
                          <w:rFonts w:ascii="Cambria" w:hAnsi="Cambria" w:cstheme="minorHAnsi"/>
                          <w:sz w:val="16"/>
                          <w:szCs w:val="18"/>
                        </w:rPr>
                        <w:t>ss</w:t>
                      </w:r>
                      <w:r>
                        <w:rPr>
                          <w:rFonts w:ascii="Cambria" w:hAnsi="Cambria" w:cstheme="minorHAnsi"/>
                          <w:sz w:val="16"/>
                          <w:szCs w:val="18"/>
                        </w:rPr>
                        <w:t>DNA virus, that is a surrogate for herpes</w:t>
                      </w:r>
                      <w:r>
                        <w:rPr>
                          <w:rFonts w:ascii="Cambria" w:hAnsi="Cambria" w:cstheme="minorHAnsi"/>
                          <w:sz w:val="16"/>
                          <w:szCs w:val="18"/>
                        </w:rPr>
                        <w:t xml:space="preserve"> simplex</w:t>
                      </w:r>
                      <w:r>
                        <w:rPr>
                          <w:rFonts w:ascii="Cambria" w:hAnsi="Cambria" w:cstheme="minorHAnsi"/>
                          <w:sz w:val="16"/>
                          <w:szCs w:val="18"/>
                        </w:rPr>
                        <w:t xml:space="preserve"> and smallpox viruses; Methicillin Resistant </w:t>
                      </w:r>
                      <w:r>
                        <w:rPr>
                          <w:rFonts w:ascii="Cambria" w:hAnsi="Cambria" w:cstheme="minorHAnsi"/>
                          <w:i/>
                          <w:sz w:val="16"/>
                          <w:szCs w:val="18"/>
                        </w:rPr>
                        <w:t>Staphylococcus epidermidis</w:t>
                      </w:r>
                      <w:r>
                        <w:rPr>
                          <w:rFonts w:ascii="Cambria" w:hAnsi="Cambria" w:cstheme="minorHAnsi"/>
                          <w:sz w:val="16"/>
                          <w:szCs w:val="18"/>
                        </w:rPr>
                        <w:t xml:space="preserve"> (MRSE), a gram-positive bacterium that serves as a surrogate for many pathogenic gram-positive bacteria, including Methicillin Resistant </w:t>
                      </w:r>
                      <w:r>
                        <w:rPr>
                          <w:rFonts w:ascii="Cambria" w:hAnsi="Cambria" w:cstheme="minorHAnsi"/>
                          <w:i/>
                          <w:sz w:val="16"/>
                          <w:szCs w:val="18"/>
                        </w:rPr>
                        <w:t>Staphylococcus aureus</w:t>
                      </w:r>
                      <w:r>
                        <w:rPr>
                          <w:rFonts w:ascii="Cambria" w:hAnsi="Cambria" w:cstheme="minorHAnsi"/>
                          <w:sz w:val="16"/>
                          <w:szCs w:val="18"/>
                        </w:rPr>
                        <w:t xml:space="preserve"> (MRSA); </w:t>
                      </w:r>
                      <w:r>
                        <w:rPr>
                          <w:rFonts w:ascii="Cambria" w:hAnsi="Cambria" w:cstheme="minorHAnsi"/>
                          <w:i/>
                          <w:sz w:val="16"/>
                          <w:szCs w:val="18"/>
                        </w:rPr>
                        <w:t>Pantoea agglomerans</w:t>
                      </w:r>
                      <w:r>
                        <w:rPr>
                          <w:rFonts w:ascii="Cambria" w:hAnsi="Cambria" w:cstheme="minorHAnsi"/>
                          <w:sz w:val="16"/>
                          <w:szCs w:val="18"/>
                        </w:rPr>
                        <w:t xml:space="preserve">, </w:t>
                      </w:r>
                      <w:r>
                        <w:rPr>
                          <w:rFonts w:ascii="Cambria" w:hAnsi="Cambria" w:cstheme="minorHAnsi"/>
                          <w:sz w:val="16"/>
                          <w:szCs w:val="18"/>
                        </w:rPr>
                        <w:t xml:space="preserve">previously known as </w:t>
                      </w:r>
                      <w:r>
                        <w:rPr>
                          <w:rFonts w:ascii="Cambria" w:hAnsi="Cambria" w:cstheme="minorHAnsi"/>
                          <w:i/>
                          <w:sz w:val="16"/>
                          <w:szCs w:val="18"/>
                        </w:rPr>
                        <w:t>Erwinia herbicola</w:t>
                      </w:r>
                      <w:r>
                        <w:rPr>
                          <w:rFonts w:ascii="Cambria" w:hAnsi="Cambria" w:cstheme="minorHAnsi"/>
                          <w:sz w:val="16"/>
                          <w:szCs w:val="18"/>
                        </w:rPr>
                        <w:t xml:space="preserve"> </w:t>
                      </w:r>
                      <w:r>
                        <w:rPr>
                          <w:rFonts w:ascii="Cambria" w:hAnsi="Cambria" w:cstheme="minorHAnsi"/>
                          <w:sz w:val="16"/>
                          <w:szCs w:val="18"/>
                        </w:rPr>
                        <w:t xml:space="preserve">a gram-negative bacterium that is a </w:t>
                      </w:r>
                      <w:r>
                        <w:rPr>
                          <w:rFonts w:ascii="Cambria" w:hAnsi="Cambria" w:cstheme="minorHAnsi"/>
                          <w:sz w:val="16"/>
                          <w:szCs w:val="18"/>
                        </w:rPr>
                        <w:t xml:space="preserve">surrogate for </w:t>
                      </w:r>
                      <w:r>
                        <w:rPr>
                          <w:rFonts w:ascii="Cambria" w:hAnsi="Cambria" w:cstheme="minorHAnsi"/>
                          <w:i/>
                          <w:sz w:val="16"/>
                          <w:szCs w:val="18"/>
                        </w:rPr>
                        <w:t>Yersinia pestis</w:t>
                      </w:r>
                      <w:r>
                        <w:rPr>
                          <w:rFonts w:ascii="Cambria" w:hAnsi="Cambria" w:cstheme="minorHAnsi"/>
                          <w:sz w:val="16"/>
                          <w:szCs w:val="18"/>
                        </w:rPr>
                        <w:t xml:space="preserve">; </w:t>
                      </w:r>
                      <w:r>
                        <w:rPr>
                          <w:rFonts w:ascii="Cambria" w:hAnsi="Cambria" w:cstheme="minorHAnsi"/>
                          <w:i/>
                          <w:sz w:val="16"/>
                          <w:szCs w:val="18"/>
                        </w:rPr>
                        <w:t>Bacillus subtilis</w:t>
                      </w:r>
                      <w:r>
                        <w:rPr>
                          <w:rFonts w:ascii="Cambria" w:hAnsi="Cambria" w:cstheme="minorHAnsi"/>
                          <w:sz w:val="16"/>
                          <w:szCs w:val="18"/>
                        </w:rPr>
                        <w:t xml:space="preserve"> </w:t>
                      </w:r>
                      <w:r>
                        <w:rPr>
                          <w:rFonts w:ascii="Cambria" w:hAnsi="Cambria" w:cstheme="minorHAnsi"/>
                          <w:sz w:val="16"/>
                          <w:szCs w:val="18"/>
                        </w:rPr>
                        <w:t xml:space="preserve">bacterial </w:t>
                      </w:r>
                      <w:r>
                        <w:rPr>
                          <w:rFonts w:ascii="Cambria" w:hAnsi="Cambria" w:cstheme="minorHAnsi"/>
                          <w:sz w:val="16"/>
                          <w:szCs w:val="18"/>
                        </w:rPr>
                        <w:t xml:space="preserve">endospores, which serve as a model for the many bacterial species that produce highly resistant endospores; and the spores from </w:t>
                      </w:r>
                      <w:r>
                        <w:rPr>
                          <w:rFonts w:ascii="Cambria" w:hAnsi="Cambria" w:cstheme="minorHAnsi"/>
                          <w:i/>
                          <w:sz w:val="16"/>
                          <w:szCs w:val="18"/>
                        </w:rPr>
                        <w:t>Aspergillus brasiliensis</w:t>
                      </w:r>
                      <w:r>
                        <w:rPr>
                          <w:rFonts w:ascii="Cambria" w:hAnsi="Cambria" w:cstheme="minorHAnsi"/>
                          <w:sz w:val="16"/>
                          <w:szCs w:val="18"/>
                        </w:rPr>
                        <w:t>, one of the most common sources of toxic black mold.</w:t>
                      </w:r>
                    </w:p>
                    <w:p>
                      <w:pPr>
                        <w:jc w:val="both"/>
                        <w:spacing w:line="19" w:lineRule="atLeast"/>
                        <w:rPr>
                          <w:rFonts w:ascii="Cambria" w:hAnsi="Cambria" w:cstheme="minorHAnsi"/>
                          <w:sz w:val="18"/>
                          <w:szCs w:val="18"/>
                        </w:rPr>
                      </w:pPr>
                    </w:p>
                    <w:p>
                      <w:pPr>
                        <w:ind w:firstLine="360"/>
                        <w:jc w:val="both"/>
                        <w:spacing w:line="19" w:lineRule="atLeast"/>
                        <w:rPr>
                          <w:rFonts w:ascii="Cambria" w:hAnsi="Cambria" w:cstheme="minorHAnsi"/>
                          <w:sz w:val="16"/>
                          <w:szCs w:val="18"/>
                        </w:rPr>
                      </w:pPr>
                      <w:r>
                        <w:rPr>
                          <w:rFonts w:ascii="Cambria" w:hAnsi="Cambria" w:cstheme="minorHAnsi"/>
                          <w:sz w:val="16"/>
                          <w:szCs w:val="18"/>
                        </w:rPr>
                        <w:t xml:space="preserve">This report is for the VKPro, which is one of two devices (VKPro and </w:t>
                      </w:r>
                      <w:r>
                        <w:rPr>
                          <w:rFonts w:ascii="Cambria" w:hAnsi="Cambria" w:cstheme="minorHAnsi"/>
                          <w:sz w:val="16"/>
                          <w:szCs w:val="18"/>
                        </w:rPr>
                        <w:t>VKAir</w:t>
                      </w:r>
                      <w:r>
                        <w:rPr>
                          <w:rFonts w:ascii="Cambria" w:hAnsi="Cambria" w:cstheme="minorHAnsi"/>
                          <w:sz w:val="16"/>
                          <w:szCs w:val="18"/>
                        </w:rPr>
                        <w:t xml:space="preserve">) tested for Radic8. This study was done to test the commercial production versions of these two Radic8 models for their efficacy, for air purification, against six organisms. All devices were tested at the highest fan speed. </w:t>
                      </w:r>
                    </w:p>
                    <w:p>
                      <w:pPr>
                        <w:jc w:val="both"/>
                        <w:spacing w:line="19" w:lineRule="atLeast"/>
                        <w:rPr>
                          <w:rFonts w:ascii="Cambria" w:hAnsi="Cambria" w:cstheme="minorHAnsi"/>
                          <w:sz w:val="16"/>
                          <w:szCs w:val="18"/>
                        </w:rPr>
                      </w:pPr>
                    </w:p>
                    <w:p>
                      <w:pPr>
                        <w:jc w:val="both"/>
                        <w:spacing w:line="19" w:lineRule="atLeast"/>
                        <w:rPr>
                          <w:rFonts w:ascii="Cambria" w:hAnsi="Cambria" w:cstheme="minorHAnsi"/>
                          <w:color w:val="0070C0"/>
                          <w:sz w:val="16"/>
                          <w:szCs w:val="18"/>
                        </w:rPr>
                      </w:pPr>
                      <w:r>
                        <w:rPr>
                          <w:i/>
                          <w:color w:val="0070C0"/>
                          <w:sz w:val="16"/>
                          <w:szCs w:val="18"/>
                        </w:rPr>
                        <w:t>Methods:</w:t>
                      </w:r>
                      <w:r>
                        <w:rPr>
                          <w:rFonts w:ascii="Cambria" w:hAnsi="Cambria" w:cstheme="minorHAnsi"/>
                          <w:color w:val="0070C0"/>
                          <w:sz w:val="16"/>
                          <w:szCs w:val="18"/>
                        </w:rPr>
                        <w:t xml:space="preserve"> </w:t>
                      </w:r>
                    </w:p>
                    <w:p>
                      <w:pPr>
                        <w:ind w:firstLine="360"/>
                        <w:jc w:val="both"/>
                        <w:spacing w:line="19" w:lineRule="atLeast"/>
                        <w:rPr>
                          <w:rFonts w:ascii="Cambria" w:hAnsi="Cambria" w:cstheme="minorHAnsi"/>
                          <w:sz w:val="16"/>
                          <w:szCs w:val="18"/>
                        </w:rPr>
                      </w:pPr>
                      <w:r>
                        <w:rPr>
                          <w:rFonts w:ascii="Cambria" w:hAnsi="Cambria" w:cstheme="minorHAnsi"/>
                          <w:sz w:val="16"/>
                          <w:szCs w:val="18"/>
                        </w:rPr>
                        <w:t xml:space="preserve">Each microorganism was aerosolized into a sealed </w:t>
                      </w:r>
                      <w:r>
                        <w:rPr>
                          <w:rFonts w:ascii="Cambria" w:hAnsi="Cambria" w:cstheme="minorHAnsi"/>
                          <w:sz w:val="16"/>
                          <w:szCs w:val="18"/>
                        </w:rPr>
                        <w:t>16m</w:t>
                      </w:r>
                      <w:r>
                        <w:rPr>
                          <w:rFonts w:ascii="Cambria" w:hAnsi="Cambria" w:cstheme="minorHAnsi"/>
                          <w:sz w:val="16"/>
                          <w:szCs w:val="18"/>
                          <w:vertAlign w:val="superscript"/>
                        </w:rPr>
                        <w:t>3</w:t>
                      </w:r>
                      <w:r>
                        <w:rPr>
                          <w:rFonts w:ascii="Cambria" w:hAnsi="Cambria" w:cstheme="minorHAnsi"/>
                          <w:sz w:val="16"/>
                          <w:szCs w:val="18"/>
                        </w:rPr>
                        <w:t xml:space="preserve"> </w:t>
                      </w:r>
                      <w:r>
                        <w:rPr>
                          <w:rFonts w:ascii="Cambria" w:hAnsi="Cambria" w:cstheme="minorHAnsi"/>
                          <w:sz w:val="16"/>
                          <w:szCs w:val="18"/>
                        </w:rPr>
                        <w:t xml:space="preserve">environmental bioaerosol chamber, containing the </w:t>
                      </w:r>
                      <w:r>
                        <w:rPr>
                          <w:rFonts w:ascii="Cambria" w:hAnsi="Cambria" w:cstheme="minorHAnsi"/>
                          <w:sz w:val="16"/>
                          <w:szCs w:val="18"/>
                        </w:rPr>
                        <w:t>Radic8</w:t>
                      </w:r>
                      <w:r>
                        <w:rPr>
                          <w:rFonts w:ascii="Cambria" w:hAnsi="Cambria" w:cstheme="minorHAnsi"/>
                          <w:sz w:val="16"/>
                          <w:szCs w:val="18"/>
                        </w:rPr>
                        <w:t xml:space="preserve"> VKPro</w:t>
                      </w:r>
                      <w:r>
                        <w:rPr>
                          <w:rFonts w:ascii="Cambria" w:hAnsi="Cambria" w:cstheme="minorHAnsi"/>
                          <w:sz w:val="16"/>
                          <w:szCs w:val="18"/>
                        </w:rPr>
                        <w:t xml:space="preserve">, using a Collison 24-Jet Nebulizer or dry powder </w:t>
                      </w:r>
                      <w:r>
                        <w:rPr>
                          <w:rFonts w:ascii="Cambria" w:hAnsi="Cambria" w:cstheme="minorHAnsi"/>
                          <w:sz w:val="16"/>
                          <w:szCs w:val="18"/>
                        </w:rPr>
                        <w:t>eductor</w:t>
                      </w:r>
                      <w:r>
                        <w:rPr>
                          <w:rFonts w:ascii="Cambria" w:hAnsi="Cambria" w:cstheme="minorHAnsi"/>
                          <w:sz w:val="16"/>
                          <w:szCs w:val="18"/>
                        </w:rPr>
                        <w:t>. All the bioaerosols had a mass median aerodynamic diameter (MMAD) ranging from 0.7-4.0 µm (species dependent). Bioaerosol samples were taken at multiple time points throughout each trial, in order to quantify the reduction rate capability of the air purification device. Impinger samples were serially diluted, plated, incubated, and enumerated in triplicate to yield viable bioaerosol concentration for each sampling point. Chamber control trial data, or natural decay, was subtracted from the device trial data to yield the net LOG reduction for each of the bioaerosol challenges.</w:t>
                      </w:r>
                      <w:r>
                        <w:rPr>
                          <w:rFonts w:ascii="Cambria" w:hAnsi="Cambria" w:cstheme="minorHAnsi"/>
                          <w:sz w:val="16"/>
                          <w:szCs w:val="18"/>
                        </w:rPr>
                        <w:t xml:space="preserve"> Additionally viable cascades, run at 30 L/min, were used to further resolve the lower detection limits achieved by the Radic8 device. </w:t>
                      </w:r>
                    </w:p>
                    <w:p>
                      <w:pPr>
                        <w:jc w:val="both"/>
                        <w:spacing w:line="19" w:lineRule="atLeast"/>
                        <w:rPr>
                          <w:rFonts w:ascii="Cambria" w:hAnsi="Cambria" w:cstheme="minorHAnsi"/>
                          <w:sz w:val="18"/>
                          <w:szCs w:val="18"/>
                        </w:rPr>
                      </w:pPr>
                    </w:p>
                    <w:p>
                      <w:pPr>
                        <w:jc w:val="both"/>
                        <w:spacing w:line="19" w:lineRule="atLeast"/>
                        <w:rPr>
                          <w:color w:val="0070C0"/>
                          <w:sz w:val="16"/>
                          <w:szCs w:val="18"/>
                        </w:rPr>
                      </w:pPr>
                      <w:r>
                        <w:rPr>
                          <w:i/>
                          <w:color w:val="0070C0"/>
                          <w:sz w:val="16"/>
                          <w:szCs w:val="18"/>
                        </w:rPr>
                        <w:t>Results:</w:t>
                      </w:r>
                      <w:r>
                        <w:rPr>
                          <w:color w:val="0070C0"/>
                          <w:sz w:val="16"/>
                          <w:szCs w:val="18"/>
                        </w:rPr>
                        <w:t xml:space="preserve"> </w:t>
                      </w:r>
                    </w:p>
                    <w:p>
                      <w:pPr>
                        <w:ind w:firstLine="360"/>
                        <w:jc w:val="both"/>
                        <w:spacing w:line="19" w:lineRule="atLeast"/>
                        <w:rPr>
                          <w:sz w:val="16"/>
                          <w:szCs w:val="18"/>
                        </w:rPr>
                      </w:pPr>
                      <w:r>
                        <w:rPr>
                          <w:sz w:val="16"/>
                          <w:szCs w:val="18"/>
                        </w:rPr>
                        <w:t xml:space="preserve">The Radic8 VKPro, on the highest fan speed, was effective at reducing all of the tested bioaerosols by a minimum net log of 4.0 or </w:t>
                      </w:r>
                      <w:r>
                        <w:rPr>
                          <w:rFonts w:ascii="Cambria" w:hAnsi="Cambria" w:cstheme="minorHAnsi"/>
                          <w:sz w:val="16"/>
                          <w:szCs w:val="18"/>
                        </w:rPr>
                        <w:t xml:space="preserve">greater (equivalent to 99.99% </w:t>
                      </w:r>
                      <w:r>
                        <w:rPr>
                          <w:rFonts w:ascii="Cambria" w:hAnsi="Cambria" w:cstheme="minorHAnsi"/>
                          <w:sz w:val="16"/>
                          <w:szCs w:val="18"/>
                        </w:rPr>
                        <w:t>reduction</w:t>
                      </w:r>
                      <w:r>
                        <w:rPr>
                          <w:rFonts w:ascii="Cambria" w:hAnsi="Cambria" w:cstheme="minorHAnsi"/>
                          <w:sz w:val="16"/>
                          <w:szCs w:val="18"/>
                        </w:rPr>
                        <w:t>)</w:t>
                      </w:r>
                      <w:r>
                        <w:rPr>
                          <w:rFonts w:ascii="Cambria" w:hAnsi="Cambria" w:cstheme="minorHAnsi"/>
                          <w:sz w:val="16"/>
                          <w:szCs w:val="18"/>
                        </w:rPr>
                        <w:t xml:space="preserve"> within 90 minutes or less</w:t>
                      </w:r>
                      <w:r>
                        <w:rPr>
                          <w:sz w:val="16"/>
                          <w:szCs w:val="18"/>
                        </w:rPr>
                        <w:t xml:space="preserve">. All of the tested organisms surpassed this threshold by at least 1 log at the end of testing. This report will present test results for all of the tested organisms </w:t>
                      </w:r>
                    </w:p>
                    <w:p>
                      <w:pPr>
                        <w:jc w:val="both"/>
                        <w:spacing w:line="19" w:lineRule="atLeast"/>
                        <w:rPr>
                          <w:rFonts w:ascii="Cambria" w:hAnsi="Cambria" w:cstheme="minorHAnsi"/>
                          <w:sz w:val="16"/>
                          <w:szCs w:val="18"/>
                        </w:rPr>
                      </w:pPr>
                    </w:p>
                    <w:p>
                      <w:pPr>
                        <w:jc w:val="both"/>
                        <w:spacing w:line="19" w:lineRule="atLeast"/>
                        <w:rPr>
                          <w:rFonts w:ascii="Cambria" w:hAnsi="Cambria" w:cstheme="minorHAnsi"/>
                          <w:i/>
                          <w:color w:val="0070C0"/>
                          <w:sz w:val="16"/>
                          <w:szCs w:val="18"/>
                        </w:rPr>
                      </w:pPr>
                      <w:r>
                        <w:rPr>
                          <w:rFonts w:ascii="Cambria" w:hAnsi="Cambria" w:cstheme="minorHAnsi"/>
                          <w:i/>
                          <w:color w:val="0070C0"/>
                          <w:sz w:val="16"/>
                          <w:szCs w:val="18"/>
                        </w:rPr>
                        <w:t xml:space="preserve">Conclusions: </w:t>
                      </w:r>
                    </w:p>
                    <w:p>
                      <w:pPr>
                        <w:ind w:firstLine="360"/>
                        <w:jc w:val="both"/>
                        <w:spacing w:line="19" w:lineRule="atLeast"/>
                        <w:rPr>
                          <w:rFonts w:ascii="Cambria" w:hAnsi="Cambria" w:cstheme="minorHAnsi"/>
                          <w:sz w:val="16"/>
                          <w:szCs w:val="18"/>
                        </w:rPr>
                      </w:pPr>
                      <w:r>
                        <w:rPr>
                          <w:rFonts w:ascii="Cambria" w:hAnsi="Cambria" w:cstheme="minorHAnsi"/>
                          <w:sz w:val="16"/>
                          <w:szCs w:val="18"/>
                        </w:rPr>
                        <w:t xml:space="preserve">The </w:t>
                      </w:r>
                      <w:r>
                        <w:rPr>
                          <w:rFonts w:ascii="Cambria" w:hAnsi="Cambria" w:cstheme="minorHAnsi"/>
                          <w:sz w:val="16"/>
                          <w:szCs w:val="18"/>
                        </w:rPr>
                        <w:t>VKPro</w:t>
                      </w:r>
                      <w:r>
                        <w:rPr>
                          <w:rFonts w:ascii="Cambria" w:hAnsi="Cambria" w:cstheme="minorHAnsi"/>
                          <w:sz w:val="16"/>
                          <w:szCs w:val="18"/>
                        </w:rPr>
                        <w:t xml:space="preserve"> is extremely adept at removing bioaerosols from a given room. Within 60 min of operating, the </w:t>
                      </w:r>
                      <w:r>
                        <w:rPr>
                          <w:rFonts w:ascii="Cambria" w:hAnsi="Cambria" w:cstheme="minorHAnsi"/>
                          <w:sz w:val="16"/>
                          <w:szCs w:val="18"/>
                        </w:rPr>
                        <w:t>VKPro</w:t>
                      </w:r>
                      <w:r>
                        <w:rPr>
                          <w:rFonts w:ascii="Cambria" w:hAnsi="Cambria" w:cstheme="minorHAnsi"/>
                          <w:sz w:val="16"/>
                          <w:szCs w:val="18"/>
                        </w:rPr>
                        <w:t xml:space="preserve"> had removed </w:t>
                      </w:r>
                      <w:r>
                        <w:rPr>
                          <w:rFonts w:ascii="Cambria" w:hAnsi="Cambria" w:cstheme="minorHAnsi"/>
                          <w:sz w:val="16"/>
                          <w:szCs w:val="18"/>
                        </w:rPr>
                        <w:t>&gt;</w:t>
                      </w:r>
                      <w:r>
                        <w:rPr>
                          <w:rFonts w:ascii="Cambria" w:hAnsi="Cambria" w:cstheme="minorHAnsi"/>
                          <w:sz w:val="16"/>
                          <w:szCs w:val="18"/>
                        </w:rPr>
                        <w:t>4.</w:t>
                      </w:r>
                      <w:r>
                        <w:rPr>
                          <w:rFonts w:ascii="Cambria" w:hAnsi="Cambria" w:cstheme="minorHAnsi"/>
                          <w:sz w:val="16"/>
                          <w:szCs w:val="18"/>
                        </w:rPr>
                        <w:t>0</w:t>
                      </w:r>
                      <w:r>
                        <w:rPr>
                          <w:rFonts w:ascii="Cambria" w:hAnsi="Cambria" w:cstheme="minorHAnsi"/>
                          <w:sz w:val="16"/>
                          <w:szCs w:val="18"/>
                        </w:rPr>
                        <w:t xml:space="preserve"> </w:t>
                      </w:r>
                      <w:r>
                        <w:rPr>
                          <w:rFonts w:ascii="Cambria" w:hAnsi="Cambria" w:cstheme="minorHAnsi"/>
                          <w:sz w:val="16"/>
                          <w:szCs w:val="18"/>
                        </w:rPr>
                        <w:t xml:space="preserve">Net Log </w:t>
                      </w:r>
                      <w:r>
                        <w:rPr>
                          <w:rFonts w:ascii="Cambria" w:hAnsi="Cambria" w:cstheme="minorHAnsi"/>
                          <w:sz w:val="16"/>
                          <w:szCs w:val="18"/>
                        </w:rPr>
                        <w:t xml:space="preserve">of </w:t>
                      </w:r>
                      <w:r>
                        <w:rPr>
                          <w:rFonts w:ascii="Cambria" w:hAnsi="Cambria" w:cstheme="minorHAnsi"/>
                          <w:i/>
                          <w:sz w:val="16"/>
                          <w:szCs w:val="18"/>
                        </w:rPr>
                        <w:t>Staphylococcus epidermidis</w:t>
                      </w:r>
                      <w:r>
                        <w:rPr>
                          <w:rFonts w:ascii="Cambria" w:hAnsi="Cambria" w:cstheme="minorHAnsi"/>
                          <w:sz w:val="16"/>
                          <w:szCs w:val="18"/>
                        </w:rPr>
                        <w:t xml:space="preserve"> and MS2 from the test chamber. Additionally the other tested organisms were removed at &gt;4.0 Net Log at the 90 min mark minus </w:t>
                      </w:r>
                      <w:r>
                        <w:rPr>
                          <w:rFonts w:ascii="Cambria" w:hAnsi="Cambria" w:cstheme="minorHAnsi"/>
                          <w:i/>
                          <w:sz w:val="16"/>
                          <w:szCs w:val="18"/>
                        </w:rPr>
                        <w:t xml:space="preserve">Pantoea agglomerans </w:t>
                      </w:r>
                      <w:r>
                        <w:rPr>
                          <w:rFonts w:ascii="Cambria" w:hAnsi="Cambria" w:cstheme="minorHAnsi"/>
                          <w:sz w:val="16"/>
                          <w:szCs w:val="18"/>
                        </w:rPr>
                        <w:t>which took 120 min to reach the &gt;4.0 Net Log reduction. Given the level of reduction of the</w:t>
                      </w:r>
                      <w:r>
                        <w:rPr>
                          <w:rFonts w:ascii="Cambria" w:hAnsi="Cambria" w:cstheme="minorHAnsi"/>
                          <w:sz w:val="16"/>
                          <w:szCs w:val="18"/>
                        </w:rPr>
                        <w:t>se</w:t>
                      </w:r>
                      <w:r>
                        <w:rPr>
                          <w:rFonts w:ascii="Cambria" w:hAnsi="Cambria" w:cstheme="minorHAnsi"/>
                          <w:sz w:val="16"/>
                          <w:szCs w:val="18"/>
                        </w:rPr>
                        <w:t xml:space="preserve"> </w:t>
                      </w:r>
                      <w:r>
                        <w:rPr>
                          <w:rFonts w:ascii="Cambria" w:hAnsi="Cambria" w:cstheme="minorHAnsi"/>
                          <w:sz w:val="16"/>
                          <w:szCs w:val="18"/>
                        </w:rPr>
                        <w:t>organisms</w:t>
                      </w:r>
                      <w:r>
                        <w:rPr>
                          <w:rFonts w:ascii="Cambria" w:hAnsi="Cambria" w:cstheme="minorHAnsi"/>
                          <w:sz w:val="16"/>
                          <w:szCs w:val="18"/>
                        </w:rPr>
                        <w:t>, conclusions can be drawn about how is device would work against more dangerous pathogens the have similar characteristics to our surrogate test organisms.</w:t>
                      </w:r>
                    </w:p>
                  </w:txbxContent>
                </v:textbox>
                <v:fill opacity="5242f"/>
                <v:stroke joinstyle="round"/>
              </v:rect>
            </w:pict>
          </mc:Fallback>
        </mc:AlternateContent>
      </w:r>
    </w:p>
    <w:p>
      <w:pPr>
        <w:rPr>
          <w:rFonts w:asciiTheme="minorHAnsi" w:hAnsiTheme="minorHAnsi" w:cstheme="minorHAnsi"/>
          <w:b/>
          <w:sz w:val="22"/>
          <w:szCs w:val="20"/>
        </w:rPr>
      </w:pPr>
      <w:r>
        <w:rPr>
          <w:noProof/>
        </w:rPr>
        <mc:AlternateContent>
          <mc:Choice Requires="wps">
            <w:drawing>
              <wp:anchor distT="0" distB="0" distL="114300" distR="114300" behindDoc="0" locked="0" layoutInCell="1" simplePos="0" relativeHeight="251748352" allowOverlap="1" hidden="0">
                <wp:simplePos x="0" y="0"/>
                <wp:positionH relativeFrom="margin">
                  <wp:posOffset>0</wp:posOffset>
                </wp:positionH>
                <wp:positionV relativeFrom="paragraph">
                  <wp:posOffset>147574</wp:posOffset>
                </wp:positionV>
                <wp:extent cx="6370955" cy="0"/>
                <wp:effectExtent l="3175" t="3175" r="3175" b="3175"/>
                <wp:wrapNone/>
                <wp:docPr id="1028" name="shape1028"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0955" cy="0"/>
                        </a:xfrm>
                        <a:prstGeom prst="line">
                          <a:avLst/>
                        </a:prstGeom>
                        <a:ln w="6350">
                          <a:solidFill>
                            <a:schemeClr val="dk1">
                              <a:lumMod val="50000"/>
                              <a:lumOff val="50000"/>
                            </a:schemeClr>
                          </a:solidFill>
                        </a:ln>
                      </wps:spPr>
                      <wps:style>
                        <a:lnRef idx="1">
                          <a:schemeClr val="accent1"/>
                        </a:lnRef>
                        <a:fillRef idx="0">
                          <a:schemeClr val="accent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11.62pt;width:501.65pt;height:0pt;mso-position-horizontal-relative:margin;mso-position-vertical-relative:line;v-text-anchor:top;mso-wrap-style:square;z-index:251748352" o:allowincell="t" filled="f" stroked="t" strokecolor="#808080" strokeweight="0.5pt">
                <v:stroke joinstyle="round"/>
              </v:line>
            </w:pict>
          </mc:Fallback>
        </mc:AlternateContent>
      </w:r>
    </w:p>
    <w:p>
      <w:pPr>
        <w:rPr>
          <w:rFonts w:asciiTheme="minorHAnsi" w:hAnsiTheme="minorHAnsi" w:cstheme="minorHAnsi"/>
          <w:b/>
          <w:sz w:val="22"/>
          <w:szCs w:val="20"/>
        </w:rPr>
      </w:pPr>
      <w:r>
        <w:rPr>
          <w:rFonts w:asciiTheme="minorHAnsi" w:hAnsiTheme="minorHAnsi" w:cstheme="minorHAnsi"/>
          <w:b/>
          <w:sz w:val="22"/>
          <w:szCs w:val="20"/>
        </w:rPr>
        <w:t>I</w:t>
      </w:r>
      <w:r>
        <w:rPr>
          <w:rFonts w:asciiTheme="minorHAnsi" w:hAnsiTheme="minorHAnsi" w:cstheme="minorHAnsi"/>
          <w:b/>
          <w:sz w:val="20"/>
          <w:szCs w:val="20"/>
        </w:rPr>
        <w:t>ntroduction</w:t>
      </w:r>
    </w:p>
    <w:p>
      <w:pPr>
        <w:rPr>
          <w:rFonts w:asciiTheme="minorHAnsi" w:hAnsiTheme="minorHAnsi" w:cstheme="minorHAnsi"/>
          <w:b/>
          <w:sz w:val="22"/>
          <w:szCs w:val="20"/>
        </w:rPr>
        <w:sectPr>
          <w:type w:val="continuous"/>
          <w:pgSz w:w="12240" w:h="15840" w:code="1"/>
          <w:pgMar w:top="1440" w:right="1080" w:bottom="720" w:left="1080" w:header="720" w:footer="432" w:gutter="0"/>
          <w:cols w:space="720"/>
          <w:docGrid w:linePitch="360"/>
        </w:sectPr>
      </w:pPr>
    </w:p>
    <w:p>
      <w:pPr>
        <w:pStyle w:val="NormalWeb"/>
        <w:ind w:firstLine="360"/>
        <w:jc w:val="both"/>
        <w:spacing w:after="0" w:afterAutospacing="0" w:before="0" w:beforeAutospacing="0"/>
      </w:pPr>
      <w:r>
        <w:rPr>
          <w:rFonts w:asciiTheme="minorHAnsi" w:hAnsiTheme="minorHAnsi" w:cstheme="minorHAnsi"/>
          <w:sz w:val="19"/>
          <w:szCs w:val="19"/>
        </w:rPr>
        <w:t xml:space="preserve">This study was conducted to evaluate the </w:t>
      </w:r>
      <w:r>
        <w:rPr>
          <w:rFonts w:asciiTheme="minorHAnsi" w:hAnsiTheme="minorHAnsi" w:cstheme="minorHAnsi"/>
          <w:sz w:val="19"/>
          <w:szCs w:val="19"/>
        </w:rPr>
        <w:t xml:space="preserve">efficacy of the </w:t>
      </w:r>
      <w:r>
        <w:rPr>
          <w:rFonts w:asciiTheme="minorHAnsi" w:hAnsiTheme="minorHAnsi" w:cstheme="minorHAnsi"/>
          <w:sz w:val="19"/>
          <w:szCs w:val="19"/>
        </w:rPr>
        <w:t>VKPro</w:t>
      </w:r>
      <w:r>
        <w:rPr>
          <w:rFonts w:asciiTheme="minorHAnsi" w:hAnsiTheme="minorHAnsi" w:cstheme="minorHAnsi"/>
          <w:sz w:val="19"/>
          <w:szCs w:val="19"/>
        </w:rPr>
        <w:t xml:space="preserve"> </w:t>
      </w:r>
      <w:r>
        <w:rPr>
          <w:rFonts w:asciiTheme="minorHAnsi" w:hAnsiTheme="minorHAnsi" w:cstheme="minorHAnsi"/>
          <w:sz w:val="19"/>
          <w:szCs w:val="19"/>
        </w:rPr>
        <w:t>room air purifier,</w:t>
      </w:r>
      <w:r>
        <w:rPr>
          <w:rFonts w:asciiTheme="minorHAnsi" w:hAnsiTheme="minorHAnsi" w:cstheme="minorHAnsi"/>
          <w:sz w:val="19"/>
          <w:szCs w:val="19"/>
        </w:rPr>
        <w:t xml:space="preserve"> manufactured by </w:t>
      </w:r>
      <w:r>
        <w:rPr>
          <w:rFonts w:asciiTheme="minorHAnsi" w:hAnsiTheme="minorHAnsi" w:cstheme="minorHAnsi"/>
          <w:sz w:val="19"/>
          <w:szCs w:val="19"/>
        </w:rPr>
        <w:t>Radic8</w:t>
      </w:r>
      <w:r>
        <w:rPr>
          <w:rFonts w:asciiTheme="minorHAnsi" w:hAnsiTheme="minorHAnsi" w:cstheme="minorHAnsi"/>
          <w:sz w:val="19"/>
          <w:szCs w:val="19"/>
        </w:rPr>
        <w:t>, at</w:t>
      </w:r>
      <w:r>
        <w:rPr>
          <w:rFonts w:asciiTheme="minorHAnsi" w:hAnsiTheme="minorHAnsi" w:cstheme="minorHAnsi"/>
          <w:sz w:val="19"/>
          <w:szCs w:val="19"/>
        </w:rPr>
        <w:t xml:space="preserve"> </w:t>
      </w:r>
      <w:r>
        <w:rPr>
          <w:rFonts w:asciiTheme="minorHAnsi" w:hAnsiTheme="minorHAnsi" w:cstheme="minorHAnsi"/>
          <w:sz w:val="19"/>
          <w:szCs w:val="19"/>
        </w:rPr>
        <w:t>reducing</w:t>
      </w:r>
      <w:r>
        <w:rPr>
          <w:rFonts w:asciiTheme="minorHAnsi" w:hAnsiTheme="minorHAnsi" w:cstheme="minorHAnsi"/>
          <w:sz w:val="19"/>
          <w:szCs w:val="19"/>
        </w:rPr>
        <w:t xml:space="preserve"> aerosolized </w:t>
      </w:r>
      <w:r>
        <w:rPr>
          <w:rFonts w:asciiTheme="minorHAnsi" w:hAnsiTheme="minorHAnsi" w:cstheme="minorHAnsi"/>
          <w:sz w:val="19"/>
          <w:szCs w:val="19"/>
        </w:rPr>
        <w:t>bio organisms</w:t>
      </w:r>
      <w:r>
        <w:rPr>
          <w:rFonts w:asciiTheme="minorHAnsi" w:hAnsiTheme="minorHAnsi" w:cstheme="minorHAnsi"/>
          <w:sz w:val="19"/>
          <w:szCs w:val="19"/>
        </w:rPr>
        <w:t xml:space="preserve">. </w:t>
      </w:r>
      <w:r>
        <w:rPr>
          <w:rFonts w:asciiTheme="minorHAnsi" w:hAnsiTheme="minorHAnsi" w:cstheme="minorHAnsi"/>
          <w:sz w:val="19"/>
          <w:szCs w:val="19"/>
        </w:rPr>
        <w:t xml:space="preserve">The </w:t>
      </w:r>
      <w:r>
        <w:rPr>
          <w:rFonts w:asciiTheme="minorHAnsi" w:hAnsiTheme="minorHAnsi" w:cstheme="minorHAnsi"/>
          <w:sz w:val="19"/>
          <w:szCs w:val="19"/>
        </w:rPr>
        <w:t>VKPro</w:t>
      </w:r>
      <w:r>
        <w:rPr>
          <w:rFonts w:asciiTheme="minorHAnsi" w:hAnsiTheme="minorHAnsi" w:cstheme="minorHAnsi"/>
          <w:sz w:val="19"/>
          <w:szCs w:val="19"/>
        </w:rPr>
        <w:t xml:space="preserve"> </w:t>
      </w:r>
      <w:r>
        <w:rPr>
          <w:rFonts w:asciiTheme="minorHAnsi" w:hAnsiTheme="minorHAnsi" w:cstheme="minorHAnsi"/>
          <w:sz w:val="19"/>
          <w:szCs w:val="19"/>
        </w:rPr>
        <w:t>device is</w:t>
      </w:r>
      <w:r>
        <w:rPr>
          <w:rFonts w:asciiTheme="minorHAnsi" w:hAnsiTheme="minorHAnsi" w:cstheme="minorHAnsi"/>
          <w:sz w:val="19"/>
          <w:szCs w:val="19"/>
        </w:rPr>
        <w:t xml:space="preserve"> </w:t>
      </w:r>
      <w:r>
        <w:rPr>
          <w:rFonts w:asciiTheme="minorHAnsi" w:hAnsiTheme="minorHAnsi" w:cstheme="minorHAnsi"/>
          <w:sz w:val="19"/>
          <w:szCs w:val="19"/>
        </w:rPr>
        <w:t xml:space="preserve">a </w:t>
      </w:r>
      <w:r>
        <w:rPr>
          <w:rFonts w:asciiTheme="minorHAnsi" w:hAnsiTheme="minorHAnsi" w:cstheme="minorHAnsi"/>
          <w:sz w:val="19"/>
          <w:szCs w:val="19"/>
        </w:rPr>
        <w:t xml:space="preserve">free standing </w:t>
      </w:r>
      <w:r>
        <w:rPr>
          <w:rFonts w:asciiTheme="minorHAnsi" w:hAnsiTheme="minorHAnsi" w:cstheme="minorHAnsi"/>
          <w:sz w:val="19"/>
          <w:szCs w:val="19"/>
        </w:rPr>
        <w:t>air filtration device</w:t>
      </w:r>
      <w:r>
        <w:rPr>
          <w:rFonts w:asciiTheme="minorHAnsi" w:hAnsiTheme="minorHAnsi" w:cstheme="minorHAnsi"/>
          <w:sz w:val="19"/>
          <w:szCs w:val="19"/>
        </w:rPr>
        <w:t>, equipped with UV-C LEDs and a true HEPA filter</w:t>
      </w:r>
      <w:r>
        <w:rPr>
          <w:rFonts w:asciiTheme="minorHAnsi" w:hAnsiTheme="minorHAnsi" w:cstheme="minorHAnsi"/>
          <w:sz w:val="19"/>
          <w:szCs w:val="19"/>
        </w:rPr>
        <w:t>. It is designed to reduce</w:t>
      </w:r>
      <w:r>
        <w:rPr>
          <w:rFonts w:asciiTheme="minorHAnsi" w:hAnsiTheme="minorHAnsi" w:cstheme="minorHAnsi"/>
          <w:sz w:val="19"/>
          <w:szCs w:val="19"/>
        </w:rPr>
        <w:t xml:space="preserve"> a broad range of gram-positive and gram-negative bacteria,</w:t>
      </w:r>
      <w:r>
        <w:rPr>
          <w:rFonts w:asciiTheme="minorHAnsi" w:hAnsiTheme="minorHAnsi" w:cstheme="minorHAnsi"/>
          <w:sz w:val="19"/>
          <w:szCs w:val="19"/>
        </w:rPr>
        <w:t xml:space="preserve"> </w:t>
      </w:r>
      <w:r>
        <w:rPr>
          <w:rFonts w:asciiTheme="minorHAnsi" w:hAnsiTheme="minorHAnsi" w:cstheme="minorHAnsi"/>
          <w:sz w:val="19"/>
          <w:szCs w:val="19"/>
        </w:rPr>
        <w:t>RNA and DNA viruses</w:t>
      </w:r>
      <w:r>
        <w:rPr>
          <w:rFonts w:asciiTheme="minorHAnsi" w:hAnsiTheme="minorHAnsi" w:cstheme="minorHAnsi"/>
          <w:sz w:val="19"/>
          <w:szCs w:val="19"/>
        </w:rPr>
        <w:t xml:space="preserve"> including</w:t>
      </w:r>
      <w:r>
        <w:rPr>
          <w:rFonts w:asciiTheme="minorHAnsi" w:hAnsiTheme="minorHAnsi" w:cstheme="minorHAnsi"/>
          <w:sz w:val="19"/>
          <w:szCs w:val="19"/>
        </w:rPr>
        <w:t xml:space="preserve"> </w:t>
      </w:r>
      <w:r>
        <w:rPr>
          <w:rFonts w:asciiTheme="minorHAnsi" w:hAnsiTheme="minorHAnsi" w:cstheme="minorHAnsi"/>
          <w:sz w:val="19"/>
          <w:szCs w:val="19"/>
        </w:rPr>
        <w:t>SARS-CoV-2,</w:t>
      </w:r>
      <w:r>
        <w:rPr>
          <w:rFonts w:asciiTheme="minorHAnsi" w:hAnsiTheme="minorHAnsi" w:cstheme="minorHAnsi"/>
          <w:sz w:val="19"/>
          <w:szCs w:val="19"/>
        </w:rPr>
        <w:t xml:space="preserve"> bacterial</w:t>
      </w:r>
      <w:r>
        <w:rPr>
          <w:rFonts w:asciiTheme="minorHAnsi" w:hAnsiTheme="minorHAnsi" w:cstheme="minorHAnsi"/>
          <w:sz w:val="19"/>
          <w:szCs w:val="19"/>
        </w:rPr>
        <w:t xml:space="preserve"> fungal spores</w:t>
      </w:r>
      <w:r>
        <w:rPr>
          <w:rFonts w:asciiTheme="minorHAnsi" w:hAnsiTheme="minorHAnsi" w:cstheme="minorHAnsi"/>
          <w:sz w:val="19"/>
          <w:szCs w:val="19"/>
        </w:rPr>
        <w:t>,</w:t>
      </w:r>
      <w:r>
        <w:rPr>
          <w:rFonts w:asciiTheme="minorHAnsi" w:hAnsiTheme="minorHAnsi" w:cstheme="minorHAnsi"/>
          <w:sz w:val="19"/>
          <w:szCs w:val="19"/>
        </w:rPr>
        <w:t xml:space="preserve"> and </w:t>
      </w:r>
      <w:r>
        <w:rPr>
          <w:rFonts w:asciiTheme="minorHAnsi" w:hAnsiTheme="minorHAnsi" w:cstheme="minorHAnsi"/>
          <w:sz w:val="19"/>
          <w:szCs w:val="19"/>
        </w:rPr>
        <w:t xml:space="preserve">other </w:t>
      </w:r>
      <w:r>
        <w:rPr>
          <w:rFonts w:asciiTheme="minorHAnsi" w:hAnsiTheme="minorHAnsi" w:cstheme="minorHAnsi"/>
          <w:sz w:val="19"/>
          <w:szCs w:val="19"/>
        </w:rPr>
        <w:t xml:space="preserve">airborne </w:t>
      </w:r>
      <w:r>
        <w:rPr>
          <w:rFonts w:asciiTheme="minorHAnsi" w:hAnsiTheme="minorHAnsi" w:cstheme="minorHAnsi"/>
          <w:sz w:val="19"/>
          <w:szCs w:val="19"/>
        </w:rPr>
        <w:t>contaminants</w:t>
      </w:r>
      <w:r>
        <w:rPr>
          <w:rFonts w:asciiTheme="minorHAnsi" w:hAnsiTheme="minorHAnsi" w:cstheme="minorHAnsi"/>
          <w:sz w:val="19"/>
          <w:szCs w:val="19"/>
        </w:rPr>
        <w:t xml:space="preserve"> </w:t>
      </w:r>
      <w:r>
        <w:rPr>
          <w:rFonts w:asciiTheme="minorHAnsi" w:hAnsiTheme="minorHAnsi" w:cstheme="minorHAnsi"/>
          <w:sz w:val="19"/>
          <w:szCs w:val="19"/>
        </w:rPr>
        <w:t xml:space="preserve">in </w:t>
      </w:r>
      <w:r>
        <w:rPr>
          <w:rFonts w:asciiTheme="minorHAnsi" w:hAnsiTheme="minorHAnsi" w:cstheme="minorHAnsi"/>
          <w:sz w:val="19"/>
          <w:szCs w:val="19"/>
        </w:rPr>
        <w:t xml:space="preserve">room </w:t>
      </w:r>
      <w:r>
        <w:rPr>
          <w:rFonts w:asciiTheme="minorHAnsi" w:hAnsiTheme="minorHAnsi" w:cstheme="minorHAnsi"/>
          <w:sz w:val="19"/>
          <w:szCs w:val="19"/>
        </w:rPr>
        <w:t>air</w:t>
      </w:r>
      <w:r>
        <w:rPr>
          <w:rFonts w:asciiTheme="minorHAnsi" w:hAnsiTheme="minorHAnsi" w:cstheme="minorHAnsi"/>
          <w:sz w:val="19"/>
          <w:szCs w:val="19"/>
        </w:rPr>
        <w:t xml:space="preserve">. The </w:t>
      </w:r>
      <w:r>
        <w:rPr>
          <w:rFonts w:asciiTheme="minorHAnsi" w:hAnsiTheme="minorHAnsi" w:cstheme="minorHAnsi"/>
          <w:sz w:val="19"/>
          <w:szCs w:val="19"/>
        </w:rPr>
        <w:t>VKPro</w:t>
      </w:r>
      <w:r>
        <w:rPr>
          <w:rFonts w:asciiTheme="minorHAnsi" w:hAnsiTheme="minorHAnsi" w:cstheme="minorHAnsi"/>
          <w:sz w:val="19"/>
          <w:szCs w:val="19"/>
        </w:rPr>
        <w:t xml:space="preserve"> device is designed</w:t>
      </w:r>
      <w:r>
        <w:rPr>
          <w:rFonts w:asciiTheme="minorHAnsi" w:hAnsiTheme="minorHAnsi" w:cstheme="minorHAnsi"/>
          <w:sz w:val="19"/>
          <w:szCs w:val="19"/>
        </w:rPr>
        <w:t xml:space="preserve"> for medical purposes in medical facilities and other indoor spaces</w:t>
      </w:r>
      <w:r>
        <w:rPr>
          <w:rFonts w:asciiTheme="minorHAnsi" w:hAnsiTheme="minorHAnsi" w:cstheme="minorHAnsi"/>
          <w:sz w:val="19"/>
          <w:szCs w:val="19"/>
        </w:rPr>
        <w:t>.</w:t>
      </w:r>
      <w:r>
        <w:rPr>
          <w:rFonts w:asciiTheme="minorHAnsi" w:hAnsiTheme="minorHAnsi" w:cstheme="minorHAnsi"/>
          <w:sz w:val="19"/>
          <w:szCs w:val="19"/>
        </w:rPr>
        <w:t xml:space="preserve"> </w:t>
      </w:r>
      <w:r>
        <w:rPr>
          <w:rFonts w:asciiTheme="minorHAnsi" w:hAnsiTheme="minorHAnsi" w:cstheme="minorHAnsi"/>
          <w:sz w:val="19"/>
          <w:szCs w:val="19"/>
        </w:rPr>
        <w:t xml:space="preserve">The test plan incorporated challenging the </w:t>
      </w:r>
      <w:r>
        <w:rPr>
          <w:rFonts w:asciiTheme="minorHAnsi" w:hAnsiTheme="minorHAnsi" w:cstheme="minorHAnsi"/>
          <w:sz w:val="19"/>
          <w:szCs w:val="19"/>
        </w:rPr>
        <w:t>VKPro</w:t>
      </w:r>
      <w:r>
        <w:rPr>
          <w:rFonts w:asciiTheme="minorHAnsi" w:hAnsiTheme="minorHAnsi" w:cstheme="minorHAnsi"/>
          <w:sz w:val="19"/>
          <w:szCs w:val="19"/>
        </w:rPr>
        <w:t>,</w:t>
      </w:r>
      <w:r>
        <w:rPr>
          <w:rFonts w:asciiTheme="minorHAnsi" w:hAnsiTheme="minorHAnsi" w:cstheme="minorHAnsi"/>
          <w:sz w:val="19"/>
          <w:szCs w:val="19"/>
        </w:rPr>
        <w:t xml:space="preserve"> in a closed environmental chamber</w:t>
      </w:r>
      <w:r>
        <w:rPr>
          <w:rFonts w:asciiTheme="minorHAnsi" w:hAnsiTheme="minorHAnsi" w:cstheme="minorHAnsi"/>
          <w:sz w:val="19"/>
          <w:szCs w:val="19"/>
        </w:rPr>
        <w:t>,</w:t>
      </w:r>
      <w:r>
        <w:rPr>
          <w:rFonts w:asciiTheme="minorHAnsi" w:hAnsiTheme="minorHAnsi" w:cstheme="minorHAnsi"/>
          <w:sz w:val="19"/>
          <w:szCs w:val="19"/>
        </w:rPr>
        <w:t xml:space="preserve"> to determine the </w:t>
      </w:r>
      <w:r>
        <w:rPr>
          <w:rFonts w:asciiTheme="minorHAnsi" w:hAnsiTheme="minorHAnsi" w:cstheme="minorHAnsi"/>
          <w:sz w:val="19"/>
          <w:szCs w:val="19"/>
        </w:rPr>
        <w:t>reduction</w:t>
      </w:r>
      <w:r>
        <w:rPr>
          <w:rFonts w:asciiTheme="minorHAnsi" w:hAnsiTheme="minorHAnsi" w:cstheme="minorHAnsi"/>
          <w:sz w:val="19"/>
          <w:szCs w:val="19"/>
        </w:rPr>
        <w:t xml:space="preserve"> rate</w:t>
      </w:r>
      <w:r>
        <w:rPr>
          <w:rFonts w:asciiTheme="minorHAnsi" w:hAnsiTheme="minorHAnsi" w:cstheme="minorHAnsi"/>
          <w:sz w:val="19"/>
          <w:szCs w:val="19"/>
        </w:rPr>
        <w:t xml:space="preserve"> </w:t>
      </w:r>
      <w:r>
        <w:rPr>
          <w:rFonts w:asciiTheme="minorHAnsi" w:hAnsiTheme="minorHAnsi" w:cstheme="minorHAnsi"/>
          <w:sz w:val="19"/>
          <w:szCs w:val="19"/>
        </w:rPr>
        <w:t>of</w:t>
      </w:r>
      <w:r>
        <w:rPr>
          <w:rFonts w:asciiTheme="minorHAnsi" w:hAnsiTheme="minorHAnsi" w:cstheme="minorHAnsi"/>
          <w:sz w:val="19"/>
          <w:szCs w:val="19"/>
        </w:rPr>
        <w:t xml:space="preserve"> two separate aerosolized viruses,</w:t>
      </w:r>
      <w:r>
        <w:rPr>
          <w:rFonts w:asciiTheme="minorHAnsi" w:hAnsiTheme="minorHAnsi" w:cstheme="minorHAnsi"/>
          <w:sz w:val="19"/>
          <w:szCs w:val="19"/>
        </w:rPr>
        <w:t xml:space="preserve"> </w:t>
      </w:r>
      <w:r>
        <w:rPr>
          <w:rFonts w:asciiTheme="minorHAnsi" w:hAnsiTheme="minorHAnsi" w:cstheme="minorHAnsi"/>
          <w:sz w:val="19"/>
          <w:szCs w:val="19"/>
        </w:rPr>
        <w:t xml:space="preserve">two separate aerosolized </w:t>
      </w:r>
      <w:r>
        <w:rPr>
          <w:rFonts w:asciiTheme="minorHAnsi" w:hAnsiTheme="minorHAnsi" w:cstheme="minorHAnsi"/>
          <w:sz w:val="19"/>
          <w:szCs w:val="19"/>
        </w:rPr>
        <w:t>bacteria</w:t>
      </w:r>
      <w:r>
        <w:rPr>
          <w:rFonts w:asciiTheme="minorHAnsi" w:hAnsiTheme="minorHAnsi" w:cstheme="minorHAnsi"/>
          <w:sz w:val="19"/>
          <w:szCs w:val="19"/>
        </w:rPr>
        <w:t>,</w:t>
      </w:r>
      <w:r>
        <w:rPr>
          <w:rFonts w:asciiTheme="minorHAnsi" w:hAnsiTheme="minorHAnsi" w:cstheme="minorHAnsi"/>
          <w:sz w:val="19"/>
          <w:szCs w:val="19"/>
        </w:rPr>
        <w:t xml:space="preserve"> and two types of spores</w:t>
      </w:r>
      <w:r>
        <w:rPr>
          <w:rFonts w:asciiTheme="minorHAnsi" w:hAnsiTheme="minorHAnsi" w:cstheme="minorHAnsi"/>
          <w:sz w:val="19"/>
          <w:szCs w:val="19"/>
        </w:rPr>
        <w:t xml:space="preserve">. A </w:t>
      </w:r>
      <w:r>
        <w:rPr>
          <w:rFonts w:asciiTheme="minorHAnsi" w:hAnsiTheme="minorHAnsi" w:cstheme="minorHAnsi"/>
          <w:sz w:val="19"/>
          <w:szCs w:val="19"/>
        </w:rPr>
        <w:t>picture</w:t>
      </w:r>
      <w:r>
        <w:rPr>
          <w:rFonts w:asciiTheme="minorHAnsi" w:hAnsiTheme="minorHAnsi" w:cstheme="minorHAnsi"/>
          <w:sz w:val="19"/>
          <w:szCs w:val="19"/>
        </w:rPr>
        <w:t xml:space="preserve"> of the </w:t>
      </w:r>
      <w:r>
        <w:rPr>
          <w:rFonts w:asciiTheme="minorHAnsi" w:hAnsiTheme="minorHAnsi" w:cstheme="minorHAnsi"/>
          <w:sz w:val="19"/>
          <w:szCs w:val="19"/>
        </w:rPr>
        <w:t>VKPro</w:t>
      </w:r>
      <w:r>
        <w:rPr>
          <w:rFonts w:asciiTheme="minorHAnsi" w:hAnsiTheme="minorHAnsi" w:cstheme="minorHAnsi"/>
          <w:sz w:val="19"/>
          <w:szCs w:val="19"/>
        </w:rPr>
        <w:t xml:space="preserve"> </w:t>
      </w:r>
      <w:r>
        <w:rPr>
          <w:rFonts w:asciiTheme="minorHAnsi" w:hAnsiTheme="minorHAnsi" w:cstheme="minorHAnsi"/>
          <w:sz w:val="19"/>
          <w:szCs w:val="19"/>
        </w:rPr>
        <w:t xml:space="preserve">device is shown in </w:t>
      </w:r>
      <w:r>
        <w:rPr>
          <w:rFonts w:asciiTheme="minorHAnsi" w:hAnsiTheme="minorHAnsi" w:cstheme="minorHAnsi"/>
          <w:b/>
          <w:color w:val="0070C0"/>
          <w:sz w:val="19"/>
          <w:szCs w:val="19"/>
        </w:rPr>
        <w:t>Figure 1</w:t>
      </w:r>
      <w:r>
        <w:rPr>
          <w:rFonts w:asciiTheme="minorHAnsi" w:hAnsiTheme="minorHAnsi" w:cstheme="minorHAnsi"/>
          <w:sz w:val="19"/>
          <w:szCs w:val="19"/>
        </w:rPr>
        <w:t>.</w:t>
      </w:r>
      <w:r>
        <w:rPr>
          <w:rFonts w:asciiTheme="minorHAnsi" w:hAnsiTheme="minorHAnsi" w:cstheme="minorHAnsi"/>
          <w:sz w:val="19"/>
          <w:szCs w:val="19"/>
        </w:rPr>
        <w:t xml:space="preserve"> </w:t>
      </w:r>
      <w:r>
        <w:rPr>
          <w:rFonts w:asciiTheme="minorHAnsi" w:hAnsiTheme="minorHAnsi" w:cstheme="minorHAnsi"/>
          <w:sz w:val="19"/>
          <w:szCs w:val="19"/>
        </w:rPr>
        <w:t xml:space="preserve">This report will focus on the </w:t>
      </w:r>
      <w:r>
        <w:rPr>
          <w:rFonts w:asciiTheme="minorHAnsi" w:hAnsiTheme="minorHAnsi" w:cstheme="minorHAnsi"/>
          <w:sz w:val="19"/>
          <w:szCs w:val="19"/>
        </w:rPr>
        <w:t>efficacy</w:t>
      </w:r>
      <w:r>
        <w:rPr>
          <w:rFonts w:asciiTheme="minorHAnsi" w:hAnsiTheme="minorHAnsi" w:cstheme="minorHAnsi"/>
          <w:sz w:val="19"/>
          <w:szCs w:val="19"/>
        </w:rPr>
        <w:t xml:space="preserve"> of the </w:t>
      </w:r>
      <w:r>
        <w:rPr>
          <w:rFonts w:asciiTheme="minorHAnsi" w:hAnsiTheme="minorHAnsi" w:cstheme="minorHAnsi"/>
          <w:sz w:val="19"/>
          <w:szCs w:val="19"/>
        </w:rPr>
        <w:t>VKPro</w:t>
      </w:r>
      <w:r>
        <w:rPr>
          <w:rFonts w:asciiTheme="minorHAnsi" w:hAnsiTheme="minorHAnsi" w:cstheme="minorHAnsi"/>
          <w:sz w:val="19"/>
          <w:szCs w:val="19"/>
        </w:rPr>
        <w:t xml:space="preserve"> to remove </w:t>
      </w:r>
      <w:r>
        <w:rPr>
          <w:rFonts w:asciiTheme="minorHAnsi" w:hAnsiTheme="minorHAnsi" w:cstheme="minorHAnsi"/>
          <w:sz w:val="19"/>
          <w:szCs w:val="19"/>
        </w:rPr>
        <w:t>a</w:t>
      </w:r>
      <w:r>
        <w:rPr>
          <w:rFonts w:asciiTheme="minorHAnsi" w:hAnsiTheme="minorHAnsi" w:cstheme="minorHAnsi"/>
          <w:sz w:val="19"/>
          <w:szCs w:val="19"/>
        </w:rPr>
        <w:t xml:space="preserve"> </w:t>
      </w:r>
      <w:r>
        <w:rPr>
          <w:rFonts w:asciiTheme="minorHAnsi" w:hAnsiTheme="minorHAnsi" w:cstheme="minorHAnsi"/>
          <w:sz w:val="19"/>
          <w:szCs w:val="19"/>
        </w:rPr>
        <w:t>broad range of organisms</w:t>
      </w:r>
      <w:r>
        <w:t xml:space="preserve"> </w:t>
      </w:r>
      <w:r>
        <w:rPr>
          <w:sz w:val="19"/>
          <w:szCs w:val="19"/>
        </w:rPr>
        <w:t>from the air</w:t>
      </w:r>
      <w:r>
        <w:rPr>
          <w:sz w:val="19"/>
          <w:szCs w:val="19"/>
        </w:rPr>
        <w:t>.</w:t>
      </w:r>
    </w:p>
    <w:p>
      <w:pPr>
        <w:pStyle w:val="NormalWeb"/>
        <w:ind w:firstLine="360"/>
        <w:jc w:val="both"/>
        <w:spacing w:after="0" w:afterAutospacing="0" w:before="0" w:beforeAutospacing="0"/>
        <w:rPr>
          <w:rFonts w:asciiTheme="minorHAnsi" w:hAnsiTheme="minorHAnsi" w:cstheme="minorHAnsi"/>
          <w:sz w:val="20"/>
          <w:szCs w:val="20"/>
        </w:rPr>
      </w:pPr>
    </w:p>
    <w:p>
      <w:pPr>
        <w:jc w:val="both"/>
        <w:rPr>
          <w:rFonts w:asciiTheme="minorHAnsi" w:hAnsiTheme="minorHAnsi" w:cstheme="minorHAnsi"/>
          <w:b/>
          <w:sz w:val="20"/>
          <w:szCs w:val="20"/>
        </w:rPr>
      </w:pPr>
      <w:r>
        <w:rPr>
          <w:rFonts w:asciiTheme="minorHAnsi" w:hAnsiTheme="minorHAnsi" w:cstheme="minorHAnsi"/>
          <w:b/>
          <w:sz w:val="20"/>
          <w:szCs w:val="20"/>
        </w:rPr>
        <w:t xml:space="preserve">Study </w:t>
      </w:r>
      <w:r>
        <w:rPr>
          <w:rFonts w:asciiTheme="minorHAnsi" w:hAnsiTheme="minorHAnsi" w:cstheme="minorHAnsi"/>
          <w:b/>
          <w:sz w:val="20"/>
          <w:szCs w:val="20"/>
        </w:rPr>
        <w:t>Overview</w:t>
      </w:r>
    </w:p>
    <w:p>
      <w:pPr>
        <w:jc w:val="both"/>
        <w:rPr>
          <w:rFonts w:asciiTheme="minorHAnsi" w:hAnsiTheme="minorHAnsi" w:cstheme="minorHAnsi"/>
          <w:b/>
          <w:sz w:val="22"/>
          <w:szCs w:val="20"/>
        </w:rPr>
      </w:pPr>
    </w:p>
    <w:p>
      <w:pPr>
        <w:pStyle w:val="NormalWeb"/>
        <w:ind w:firstLine="360"/>
        <w:jc w:val="both"/>
        <w:spacing w:after="0" w:afterAutospacing="0" w:before="0" w:beforeAutospacing="0"/>
        <w:rPr>
          <w:rFonts w:asciiTheme="minorHAnsi" w:hAnsiTheme="minorHAnsi" w:cstheme="minorHAnsi"/>
          <w:sz w:val="19"/>
          <w:szCs w:val="19"/>
        </w:rPr>
      </w:pPr>
      <w:r>
        <w:rPr>
          <w:rFonts w:asciiTheme="minorHAnsi" w:hAnsiTheme="minorHAnsi" w:cstheme="minorHAnsi"/>
          <w:sz w:val="19"/>
          <w:szCs w:val="19"/>
        </w:rPr>
        <w:t xml:space="preserve">The effectiveness of the </w:t>
      </w:r>
      <w:r>
        <w:rPr>
          <w:rFonts w:asciiTheme="minorHAnsi" w:hAnsiTheme="minorHAnsi" w:cstheme="minorHAnsi"/>
          <w:sz w:val="19"/>
          <w:szCs w:val="19"/>
        </w:rPr>
        <w:t>VKPro</w:t>
      </w:r>
      <w:r>
        <w:rPr>
          <w:rFonts w:asciiTheme="minorHAnsi" w:hAnsiTheme="minorHAnsi" w:cstheme="minorHAnsi"/>
          <w:sz w:val="19"/>
          <w:szCs w:val="19"/>
        </w:rPr>
        <w:t xml:space="preserve"> </w:t>
      </w:r>
      <w:r>
        <w:rPr>
          <w:rFonts w:asciiTheme="minorHAnsi" w:hAnsiTheme="minorHAnsi" w:cstheme="minorHAnsi"/>
          <w:sz w:val="19"/>
          <w:szCs w:val="19"/>
        </w:rPr>
        <w:t xml:space="preserve">was evaluated </w:t>
      </w:r>
      <w:r>
        <w:rPr>
          <w:rFonts w:asciiTheme="minorHAnsi" w:hAnsiTheme="minorHAnsi" w:cstheme="minorHAnsi"/>
          <w:sz w:val="19"/>
          <w:szCs w:val="19"/>
        </w:rPr>
        <w:t>against a</w:t>
      </w:r>
      <w:r>
        <w:rPr>
          <w:rFonts w:asciiTheme="minorHAnsi" w:hAnsiTheme="minorHAnsi" w:cstheme="minorHAnsi"/>
          <w:sz w:val="19"/>
          <w:szCs w:val="19"/>
        </w:rPr>
        <w:t>n RNA virus, a DNA virus, a</w:t>
      </w:r>
      <w:r>
        <w:rPr>
          <w:rFonts w:asciiTheme="minorHAnsi" w:hAnsiTheme="minorHAnsi" w:cstheme="minorHAnsi"/>
          <w:sz w:val="19"/>
          <w:szCs w:val="19"/>
        </w:rPr>
        <w:t xml:space="preserve"> gram negative bacteria, a gram positive bacteria, a spore forming bacteria, and a mold spore.</w:t>
      </w:r>
    </w:p>
    <w:p>
      <w:pPr>
        <w:pStyle w:val="NormalWeb"/>
        <w:jc w:val="both"/>
        <w:tabs>
          <w:tab w:val="left" w:pos="360"/>
        </w:tabs>
        <w:spacing w:after="0" w:afterAutospacing="0" w:before="0" w:beforeAutospacing="0"/>
        <w:rPr>
          <w:rFonts w:asciiTheme="minorHAnsi" w:hAnsiTheme="minorHAnsi" w:cstheme="minorHAnsi"/>
          <w:sz w:val="19"/>
          <w:szCs w:val="19"/>
        </w:rPr>
      </w:pPr>
    </w:p>
    <w:p>
      <w:pPr>
        <w:pStyle w:val="NormalWeb"/>
        <w:jc w:val="both"/>
        <w:tabs>
          <w:tab w:val="left" w:pos="360"/>
        </w:tabs>
        <w:spacing w:after="0" w:afterAutospacing="0" w:before="0" w:beforeAutospacing="0"/>
        <w:rPr>
          <w:rFonts w:asciiTheme="minorHAnsi" w:hAnsiTheme="minorHAnsi" w:cstheme="minorHAnsi"/>
          <w:sz w:val="19"/>
          <w:szCs w:val="19"/>
        </w:rPr>
      </w:pPr>
      <w:r>
        <w:rPr>
          <w:rFonts w:asciiTheme="minorHAnsi" w:hAnsiTheme="minorHAnsi" w:cstheme="minorHAnsi"/>
          <w:sz w:val="19"/>
          <w:szCs w:val="19"/>
        </w:rPr>
        <w:tab/>
      </w:r>
      <w:r>
        <w:rPr>
          <w:rFonts w:asciiTheme="minorHAnsi" w:hAnsiTheme="minorHAnsi" w:cstheme="minorHAnsi"/>
          <w:sz w:val="19"/>
          <w:szCs w:val="19"/>
        </w:rPr>
        <w:t xml:space="preserve">Testing was conducted to characterize </w:t>
      </w:r>
      <w:r>
        <w:rPr>
          <w:rFonts w:asciiTheme="minorHAnsi" w:hAnsiTheme="minorHAnsi" w:cstheme="minorHAnsi"/>
          <w:sz w:val="19"/>
          <w:szCs w:val="19"/>
        </w:rPr>
        <w:t>the reduction efficacy of</w:t>
      </w:r>
      <w:r>
        <w:rPr>
          <w:rFonts w:asciiTheme="minorHAnsi" w:hAnsiTheme="minorHAnsi" w:cstheme="minorHAnsi"/>
          <w:sz w:val="19"/>
          <w:szCs w:val="19"/>
        </w:rPr>
        <w:t xml:space="preserve"> a </w:t>
      </w:r>
      <w:r>
        <w:rPr>
          <w:rFonts w:asciiTheme="minorHAnsi" w:hAnsiTheme="minorHAnsi" w:cstheme="minorHAnsi"/>
          <w:sz w:val="19"/>
          <w:szCs w:val="19"/>
        </w:rPr>
        <w:t xml:space="preserve">single </w:t>
      </w:r>
      <w:r>
        <w:rPr>
          <w:rFonts w:asciiTheme="minorHAnsi" w:hAnsiTheme="minorHAnsi" w:cstheme="minorHAnsi"/>
          <w:sz w:val="19"/>
          <w:szCs w:val="19"/>
        </w:rPr>
        <w:t>VKPro</w:t>
      </w:r>
      <w:r>
        <w:rPr>
          <w:rFonts w:asciiTheme="minorHAnsi" w:hAnsiTheme="minorHAnsi" w:cstheme="minorHAnsi"/>
          <w:sz w:val="19"/>
          <w:szCs w:val="19"/>
        </w:rPr>
        <w:t xml:space="preserve"> unit against six </w:t>
      </w:r>
      <w:r>
        <w:rPr>
          <w:rFonts w:asciiTheme="minorHAnsi" w:hAnsiTheme="minorHAnsi" w:cstheme="minorHAnsi"/>
          <w:sz w:val="19"/>
          <w:szCs w:val="19"/>
        </w:rPr>
        <w:t>aerosolized micro-organisms</w:t>
      </w:r>
      <w:r>
        <w:rPr>
          <w:rFonts w:asciiTheme="minorHAnsi" w:hAnsiTheme="minorHAnsi" w:cstheme="minorHAnsi"/>
          <w:sz w:val="19"/>
          <w:szCs w:val="19"/>
        </w:rPr>
        <w:t>.</w:t>
      </w:r>
      <w:r>
        <w:rPr>
          <w:rFonts w:asciiTheme="minorHAnsi" w:hAnsiTheme="minorHAnsi" w:cstheme="minorHAnsi"/>
          <w:sz w:val="19"/>
          <w:szCs w:val="19"/>
        </w:rPr>
        <w:t xml:space="preserve"> </w:t>
      </w:r>
      <w:r>
        <w:rPr>
          <w:rFonts w:asciiTheme="minorHAnsi" w:hAnsiTheme="minorHAnsi" w:cstheme="minorHAnsi"/>
          <w:sz w:val="19"/>
          <w:szCs w:val="19"/>
        </w:rPr>
        <w:t>This will allow for a reasonable</w:t>
      </w:r>
      <w:r>
        <w:rPr>
          <w:rFonts w:asciiTheme="minorHAnsi" w:hAnsiTheme="minorHAnsi" w:cstheme="minorHAnsi"/>
          <w:sz w:val="19"/>
          <w:szCs w:val="19"/>
        </w:rPr>
        <w:t xml:space="preserve"> demonstrat</w:t>
      </w:r>
      <w:r>
        <w:rPr>
          <w:rFonts w:asciiTheme="minorHAnsi" w:hAnsiTheme="minorHAnsi" w:cstheme="minorHAnsi"/>
          <w:sz w:val="19"/>
          <w:szCs w:val="19"/>
        </w:rPr>
        <w:t>ion of</w:t>
      </w:r>
      <w:r>
        <w:rPr>
          <w:rFonts w:asciiTheme="minorHAnsi" w:hAnsiTheme="minorHAnsi" w:cstheme="minorHAnsi"/>
          <w:sz w:val="19"/>
          <w:szCs w:val="19"/>
        </w:rPr>
        <w:t xml:space="preserve"> the capability of the </w:t>
      </w:r>
      <w:r>
        <w:rPr>
          <w:rFonts w:asciiTheme="minorHAnsi" w:hAnsiTheme="minorHAnsi" w:cstheme="minorHAnsi"/>
          <w:sz w:val="19"/>
          <w:szCs w:val="19"/>
        </w:rPr>
        <w:t>VKPro</w:t>
      </w:r>
      <w:r>
        <w:rPr>
          <w:rFonts w:asciiTheme="minorHAnsi" w:hAnsiTheme="minorHAnsi" w:cstheme="minorHAnsi"/>
          <w:sz w:val="19"/>
          <w:szCs w:val="19"/>
        </w:rPr>
        <w:t xml:space="preserve"> device</w:t>
      </w:r>
      <w:r>
        <w:rPr>
          <w:rFonts w:asciiTheme="minorHAnsi" w:hAnsiTheme="minorHAnsi" w:cstheme="minorHAnsi"/>
          <w:sz w:val="19"/>
          <w:szCs w:val="19"/>
        </w:rPr>
        <w:t xml:space="preserve">, when operating at its </w:t>
      </w:r>
      <w:r>
        <w:rPr>
          <w:rFonts w:asciiTheme="minorHAnsi" w:hAnsiTheme="minorHAnsi" w:cstheme="minorHAnsi"/>
          <w:sz w:val="19"/>
          <w:szCs w:val="19"/>
        </w:rPr>
        <w:t>highest</w:t>
      </w:r>
      <w:r>
        <w:rPr>
          <w:rFonts w:asciiTheme="minorHAnsi" w:hAnsiTheme="minorHAnsi" w:cstheme="minorHAnsi"/>
          <w:sz w:val="19"/>
          <w:szCs w:val="19"/>
        </w:rPr>
        <w:t xml:space="preserve"> fan speed</w:t>
      </w:r>
      <w:r>
        <w:rPr>
          <w:rFonts w:asciiTheme="minorHAnsi" w:hAnsiTheme="minorHAnsi" w:cstheme="minorHAnsi"/>
          <w:sz w:val="19"/>
          <w:szCs w:val="19"/>
        </w:rPr>
        <w:t>,</w:t>
      </w:r>
      <w:r>
        <w:rPr>
          <w:rFonts w:asciiTheme="minorHAnsi" w:hAnsiTheme="minorHAnsi" w:cstheme="minorHAnsi"/>
          <w:sz w:val="19"/>
          <w:szCs w:val="19"/>
        </w:rPr>
        <w:t xml:space="preserve"> </w:t>
      </w:r>
      <w:r>
        <w:rPr>
          <w:rFonts w:asciiTheme="minorHAnsi" w:hAnsiTheme="minorHAnsi" w:cstheme="minorHAnsi"/>
          <w:sz w:val="19"/>
          <w:szCs w:val="19"/>
        </w:rPr>
        <w:t>to reduce viable bioaerosol concentrations</w:t>
      </w:r>
      <w:r>
        <w:rPr>
          <w:rFonts w:asciiTheme="minorHAnsi" w:hAnsiTheme="minorHAnsi" w:cstheme="minorHAnsi"/>
          <w:sz w:val="19"/>
          <w:szCs w:val="19"/>
        </w:rPr>
        <w:t xml:space="preserve"> and</w:t>
      </w:r>
      <w:r>
        <w:rPr>
          <w:rFonts w:asciiTheme="minorHAnsi" w:hAnsiTheme="minorHAnsi" w:cstheme="minorHAnsi"/>
          <w:sz w:val="19"/>
          <w:szCs w:val="19"/>
        </w:rPr>
        <w:t xml:space="preserve"> therefore theoretically reducing </w:t>
      </w:r>
      <w:r>
        <w:rPr>
          <w:rFonts w:asciiTheme="minorHAnsi" w:hAnsiTheme="minorHAnsi" w:cstheme="minorHAnsi"/>
          <w:sz w:val="19"/>
          <w:szCs w:val="19"/>
        </w:rPr>
        <w:t xml:space="preserve">the </w:t>
      </w:r>
      <w:r>
        <w:rPr>
          <w:rFonts w:asciiTheme="minorHAnsi" w:hAnsiTheme="minorHAnsi" w:cstheme="minorHAnsi"/>
          <w:sz w:val="19"/>
          <w:szCs w:val="19"/>
        </w:rPr>
        <w:t xml:space="preserve">chances of </w:t>
      </w:r>
      <w:r>
        <w:rPr>
          <w:rFonts w:asciiTheme="minorHAnsi" w:hAnsiTheme="minorHAnsi" w:cstheme="minorHAnsi"/>
          <w:sz w:val="19"/>
          <w:szCs w:val="19"/>
        </w:rPr>
        <w:t xml:space="preserve">exposure to </w:t>
      </w:r>
      <w:r>
        <w:rPr>
          <w:rFonts w:asciiTheme="minorHAnsi" w:hAnsiTheme="minorHAnsi" w:cstheme="minorHAnsi"/>
          <w:sz w:val="19"/>
          <w:szCs w:val="19"/>
        </w:rPr>
        <w:t xml:space="preserve">airborne </w:t>
      </w:r>
      <w:r>
        <w:rPr>
          <w:rFonts w:asciiTheme="minorHAnsi" w:hAnsiTheme="minorHAnsi" w:cstheme="minorHAnsi"/>
          <w:sz w:val="19"/>
          <w:szCs w:val="19"/>
        </w:rPr>
        <w:t>pathogens</w:t>
      </w:r>
      <w:r>
        <w:rPr>
          <w:rFonts w:asciiTheme="minorHAnsi" w:hAnsiTheme="minorHAnsi" w:cstheme="minorHAnsi"/>
          <w:sz w:val="19"/>
          <w:szCs w:val="19"/>
        </w:rPr>
        <w:t xml:space="preserve">. </w:t>
      </w:r>
    </w:p>
    <w:p>
      <w:pPr>
        <w:pStyle w:val="NormalWeb"/>
        <w:jc w:val="both"/>
        <w:tabs>
          <w:tab w:val="left" w:pos="360"/>
        </w:tabs>
        <w:spacing w:after="0" w:afterAutospacing="0" w:before="0" w:beforeAutospacing="0"/>
        <w:rPr>
          <w:rFonts w:asciiTheme="minorHAnsi" w:hAnsiTheme="minorHAnsi" w:cstheme="minorHAnsi"/>
          <w:sz w:val="20"/>
          <w:szCs w:val="20"/>
        </w:rPr>
      </w:pPr>
    </w:p>
    <w:p>
      <w:pPr>
        <w:pStyle w:val="NormalWeb"/>
        <w:jc w:val="both"/>
        <w:tabs>
          <w:tab w:val="left" w:pos="360"/>
        </w:tabs>
        <w:spacing w:after="0" w:afterAutospacing="0" w:before="0" w:beforeAutospacing="0"/>
        <w:rPr>
          <w:rFonts w:asciiTheme="minorHAnsi" w:hAnsiTheme="minorHAnsi" w:cstheme="minorHAnsi"/>
          <w:b/>
          <w:sz w:val="20"/>
          <w:szCs w:val="20"/>
        </w:rPr>
      </w:pPr>
      <w:r>
        <w:rPr>
          <w:rFonts w:asciiTheme="minorHAnsi" w:hAnsiTheme="minorHAnsi" w:cstheme="minorHAnsi"/>
          <w:b/>
          <w:sz w:val="20"/>
          <w:szCs w:val="20"/>
        </w:rPr>
        <w:t>P</w:t>
      </w:r>
      <w:r>
        <w:rPr>
          <w:rFonts w:asciiTheme="minorHAnsi" w:hAnsiTheme="minorHAnsi" w:cstheme="minorHAnsi"/>
          <w:b/>
          <w:sz w:val="20"/>
          <w:szCs w:val="20"/>
        </w:rPr>
        <w:t xml:space="preserve">revious R&amp;D testing </w:t>
      </w:r>
    </w:p>
    <w:p>
      <w:pPr>
        <w:pStyle w:val="NormalWeb"/>
        <w:jc w:val="both"/>
        <w:tabs>
          <w:tab w:val="left" w:pos="360"/>
        </w:tabs>
        <w:spacing w:after="0" w:afterAutospacing="0" w:before="0" w:beforeAutospacing="0"/>
        <w:rPr>
          <w:rFonts w:asciiTheme="minorHAnsi" w:hAnsiTheme="minorHAnsi" w:cstheme="minorHAnsi"/>
          <w:b/>
          <w:sz w:val="20"/>
          <w:szCs w:val="20"/>
        </w:rPr>
      </w:pPr>
    </w:p>
    <w:p>
      <w:pPr>
        <w:pStyle w:val="NormalWeb"/>
        <w:jc w:val="both"/>
        <w:tabs>
          <w:tab w:val="left" w:pos="360"/>
        </w:tabs>
        <w:spacing w:after="0" w:afterAutospacing="0" w:before="0" w:beforeAutospacing="0"/>
        <w:rPr>
          <w:rFonts w:asciiTheme="minorHAnsi" w:hAnsiTheme="minorHAnsi" w:cstheme="minorHAnsi"/>
          <w:sz w:val="19"/>
          <w:szCs w:val="19"/>
        </w:rPr>
      </w:pPr>
      <w:r>
        <w:rPr>
          <w:rFonts w:asciiTheme="minorHAnsi" w:hAnsiTheme="minorHAnsi" w:cstheme="minorHAnsi"/>
          <w:b/>
          <w:sz w:val="19"/>
          <w:szCs w:val="19"/>
        </w:rPr>
        <w:tab/>
      </w:r>
      <w:r>
        <w:rPr>
          <w:rFonts w:asciiTheme="minorHAnsi" w:hAnsiTheme="minorHAnsi" w:cstheme="minorHAnsi"/>
          <w:sz w:val="19"/>
          <w:szCs w:val="19"/>
        </w:rPr>
        <w:t xml:space="preserve">Previous testing of Radic8 devices has </w:t>
      </w:r>
      <w:r>
        <w:rPr>
          <w:rFonts w:asciiTheme="minorHAnsi" w:hAnsiTheme="minorHAnsi" w:cstheme="minorHAnsi"/>
          <w:sz w:val="19"/>
          <w:szCs w:val="19"/>
        </w:rPr>
        <w:t xml:space="preserve">been conducted </w:t>
      </w:r>
      <w:r>
        <w:rPr>
          <w:rFonts w:asciiTheme="minorHAnsi" w:hAnsiTheme="minorHAnsi" w:cstheme="minorHAnsi"/>
          <w:sz w:val="19"/>
          <w:szCs w:val="19"/>
        </w:rPr>
        <w:t xml:space="preserve">by ARE labs over the course of several months. </w:t>
      </w:r>
      <w:r>
        <w:rPr>
          <w:rFonts w:asciiTheme="minorHAnsi" w:hAnsiTheme="minorHAnsi" w:cstheme="minorHAnsi"/>
          <w:sz w:val="19"/>
          <w:szCs w:val="19"/>
        </w:rPr>
        <w:t>Initial testing concluded</w:t>
      </w:r>
      <w:r>
        <w:rPr>
          <w:rFonts w:asciiTheme="minorHAnsi" w:hAnsiTheme="minorHAnsi" w:cstheme="minorHAnsi"/>
          <w:sz w:val="19"/>
          <w:szCs w:val="19"/>
        </w:rPr>
        <w:t xml:space="preserve"> a high efficiency of bioaerosol removal from the </w:t>
      </w:r>
      <w:r>
        <w:rPr>
          <w:rFonts w:asciiTheme="minorHAnsi" w:hAnsiTheme="minorHAnsi" w:cstheme="minorHAnsi"/>
          <w:sz w:val="19"/>
          <w:szCs w:val="19"/>
        </w:rPr>
        <w:t>16m</w:t>
      </w:r>
      <w:r>
        <w:rPr>
          <w:rFonts w:asciiTheme="minorHAnsi" w:hAnsiTheme="minorHAnsi" w:cstheme="minorHAnsi"/>
          <w:sz w:val="19"/>
          <w:szCs w:val="19"/>
          <w:vertAlign w:val="superscript"/>
        </w:rPr>
        <w:t>3</w:t>
      </w:r>
      <w:r>
        <w:rPr>
          <w:rFonts w:asciiTheme="minorHAnsi" w:hAnsiTheme="minorHAnsi" w:cstheme="minorHAnsi"/>
          <w:sz w:val="19"/>
          <w:szCs w:val="19"/>
        </w:rPr>
        <w:t xml:space="preserve"> bioaerosol</w:t>
      </w:r>
      <w:r>
        <w:rPr>
          <w:rFonts w:asciiTheme="minorHAnsi" w:hAnsiTheme="minorHAnsi" w:cstheme="minorHAnsi"/>
          <w:sz w:val="19"/>
          <w:szCs w:val="19"/>
        </w:rPr>
        <w:t xml:space="preserve"> chamber. Once this testing was complete</w:t>
      </w:r>
      <w:r>
        <w:rPr>
          <w:rFonts w:asciiTheme="minorHAnsi" w:hAnsiTheme="minorHAnsi" w:cstheme="minorHAnsi"/>
          <w:sz w:val="19"/>
          <w:szCs w:val="19"/>
        </w:rPr>
        <w:t xml:space="preserve">, </w:t>
      </w:r>
      <w:r>
        <w:rPr>
          <w:rFonts w:asciiTheme="minorHAnsi" w:hAnsiTheme="minorHAnsi" w:cstheme="minorHAnsi"/>
          <w:sz w:val="19"/>
          <w:szCs w:val="19"/>
        </w:rPr>
        <w:t xml:space="preserve"> </w:t>
      </w:r>
      <w:r>
        <w:rPr>
          <w:rFonts w:asciiTheme="minorHAnsi" w:hAnsiTheme="minorHAnsi" w:cstheme="minorHAnsi"/>
          <w:sz w:val="19"/>
          <w:szCs w:val="19"/>
        </w:rPr>
        <w:t xml:space="preserve">the testing proceeded for </w:t>
      </w:r>
      <w:r>
        <w:rPr>
          <w:rFonts w:asciiTheme="minorHAnsi" w:hAnsiTheme="minorHAnsi" w:cstheme="minorHAnsi"/>
          <w:sz w:val="19"/>
          <w:szCs w:val="19"/>
        </w:rPr>
        <w:t xml:space="preserve">all </w:t>
      </w:r>
      <w:r>
        <w:rPr>
          <w:rFonts w:asciiTheme="minorHAnsi" w:hAnsiTheme="minorHAnsi" w:cstheme="minorHAnsi"/>
          <w:sz w:val="19"/>
          <w:szCs w:val="19"/>
        </w:rPr>
        <w:t xml:space="preserve">six </w:t>
      </w:r>
      <w:r>
        <w:rPr>
          <w:rFonts w:asciiTheme="minorHAnsi" w:hAnsiTheme="minorHAnsi" w:cstheme="minorHAnsi"/>
          <w:sz w:val="19"/>
          <w:szCs w:val="19"/>
        </w:rPr>
        <w:t>species</w:t>
      </w:r>
      <w:r>
        <w:rPr>
          <w:rFonts w:asciiTheme="minorHAnsi" w:hAnsiTheme="minorHAnsi" w:cstheme="minorHAnsi"/>
          <w:sz w:val="19"/>
          <w:szCs w:val="19"/>
        </w:rPr>
        <w:t xml:space="preserve"> </w:t>
      </w:r>
      <w:r>
        <w:rPr>
          <w:rFonts w:asciiTheme="minorHAnsi" w:hAnsiTheme="minorHAnsi" w:cstheme="minorHAnsi"/>
          <w:sz w:val="19"/>
          <w:szCs w:val="19"/>
        </w:rPr>
        <w:t>o</w:t>
      </w:r>
      <w:r>
        <w:rPr>
          <w:rFonts w:asciiTheme="minorHAnsi" w:hAnsiTheme="minorHAnsi" w:cstheme="minorHAnsi"/>
          <w:sz w:val="19"/>
          <w:szCs w:val="19"/>
        </w:rPr>
        <w:t>n</w:t>
      </w:r>
      <w:r>
        <w:rPr>
          <w:rFonts w:asciiTheme="minorHAnsi" w:hAnsiTheme="minorHAnsi" w:cstheme="minorHAnsi"/>
          <w:sz w:val="19"/>
          <w:szCs w:val="19"/>
        </w:rPr>
        <w:t xml:space="preserve"> the </w:t>
      </w:r>
      <w:r>
        <w:rPr>
          <w:rFonts w:asciiTheme="minorHAnsi" w:hAnsiTheme="minorHAnsi" w:cstheme="minorHAnsi"/>
          <w:sz w:val="19"/>
          <w:szCs w:val="19"/>
        </w:rPr>
        <w:t>highest fan speed of t</w:t>
      </w:r>
      <w:r>
        <w:rPr>
          <w:rFonts w:asciiTheme="minorHAnsi" w:hAnsiTheme="minorHAnsi" w:cstheme="minorHAnsi"/>
          <w:sz w:val="19"/>
          <w:szCs w:val="19"/>
        </w:rPr>
        <w:t xml:space="preserve">he </w:t>
      </w:r>
      <w:r>
        <w:rPr>
          <w:rFonts w:asciiTheme="minorHAnsi" w:hAnsiTheme="minorHAnsi" w:cstheme="minorHAnsi"/>
          <w:sz w:val="19"/>
          <w:szCs w:val="19"/>
        </w:rPr>
        <w:t>VKPro</w:t>
      </w:r>
      <w:r>
        <w:rPr>
          <w:rFonts w:asciiTheme="minorHAnsi" w:hAnsiTheme="minorHAnsi" w:cstheme="minorHAnsi"/>
          <w:sz w:val="19"/>
          <w:szCs w:val="19"/>
        </w:rPr>
        <w:t xml:space="preserve"> device</w:t>
      </w:r>
      <w:r>
        <w:rPr>
          <w:rFonts w:asciiTheme="minorHAnsi" w:hAnsiTheme="minorHAnsi" w:cstheme="minorHAnsi"/>
          <w:sz w:val="19"/>
          <w:szCs w:val="19"/>
        </w:rPr>
        <w:t>.</w:t>
      </w:r>
      <w:r>
        <w:rPr>
          <w:rFonts w:asciiTheme="minorHAnsi" w:hAnsiTheme="minorHAnsi" w:cstheme="minorHAnsi"/>
          <w:sz w:val="19"/>
          <w:szCs w:val="19"/>
        </w:rPr>
        <w:t xml:space="preserve"> </w:t>
      </w:r>
    </w:p>
    <w:p>
      <w:pPr>
        <w:pStyle w:val="NormalWeb"/>
        <w:jc w:val="both"/>
        <w:tabs>
          <w:tab w:val="left" w:pos="360"/>
        </w:tabs>
        <w:spacing w:after="0" w:afterAutospacing="0" w:before="0" w:beforeAutospacing="0"/>
        <w:rPr>
          <w:rFonts w:asciiTheme="minorHAnsi" w:hAnsiTheme="minorHAnsi" w:cstheme="minorHAnsi"/>
          <w:sz w:val="20"/>
          <w:szCs w:val="20"/>
        </w:rPr>
      </w:pPr>
    </w:p>
    <w:p>
      <w:pPr>
        <w:pStyle w:val="NormalWeb"/>
        <w:jc w:val="both"/>
        <w:spacing w:after="0" w:afterAutospacing="0" w:before="0" w:beforeAutospacing="0"/>
        <w:rPr>
          <w:rFonts w:asciiTheme="minorHAnsi" w:hAnsiTheme="minorHAnsi" w:cstheme="minorHAnsi"/>
          <w:b/>
          <w:sz w:val="20"/>
          <w:szCs w:val="22"/>
        </w:rPr>
      </w:pPr>
      <w:r>
        <w:rPr>
          <w:rFonts w:asciiTheme="minorHAnsi" w:hAnsiTheme="minorHAnsi" w:cstheme="minorHAnsi"/>
          <w:b/>
          <w:sz w:val="20"/>
          <w:szCs w:val="22"/>
        </w:rPr>
        <w:t>Test Device Description</w:t>
      </w:r>
    </w:p>
    <w:p>
      <w:pPr>
        <w:pStyle w:val="NormalWeb"/>
        <w:jc w:val="both"/>
        <w:spacing w:after="0" w:afterAutospacing="0" w:before="0" w:beforeAutospacing="0"/>
        <w:rPr>
          <w:rFonts w:asciiTheme="minorHAnsi" w:hAnsiTheme="minorHAnsi" w:cstheme="minorHAnsi"/>
          <w:b/>
          <w:sz w:val="22"/>
          <w:szCs w:val="22"/>
        </w:rPr>
      </w:pPr>
    </w:p>
    <w:p>
      <w:pPr>
        <w:pStyle w:val="NormalWeb"/>
        <w:jc w:val="both"/>
        <w:tabs>
          <w:tab w:val="left" w:pos="360"/>
        </w:tabs>
        <w:spacing w:after="0" w:afterAutospacing="0" w:before="0" w:beforeAutospacing="0"/>
        <w:rPr>
          <w:rFonts w:asciiTheme="minorHAnsi" w:hAnsiTheme="minorHAnsi" w:cstheme="minorHAnsi"/>
          <w:sz w:val="19"/>
          <w:szCs w:val="19"/>
        </w:rPr>
      </w:pPr>
      <w:r>
        <w:rPr>
          <w:rFonts w:asciiTheme="minorHAnsi" w:hAnsiTheme="minorHAnsi" w:cstheme="minorHAnsi"/>
          <w:sz w:val="20"/>
          <w:szCs w:val="20"/>
        </w:rPr>
        <w:tab/>
      </w:r>
      <w:r>
        <w:rPr>
          <w:rFonts w:asciiTheme="minorHAnsi" w:hAnsiTheme="minorHAnsi" w:cstheme="minorHAnsi"/>
          <w:sz w:val="19"/>
          <w:szCs w:val="19"/>
        </w:rPr>
        <w:t xml:space="preserve">The </w:t>
      </w:r>
      <w:r>
        <w:rPr>
          <w:rFonts w:asciiTheme="minorHAnsi" w:hAnsiTheme="minorHAnsi" w:cstheme="minorHAnsi"/>
          <w:sz w:val="19"/>
          <w:szCs w:val="19"/>
        </w:rPr>
        <w:t>VKPro</w:t>
      </w:r>
      <w:r>
        <w:rPr>
          <w:rFonts w:asciiTheme="minorHAnsi" w:hAnsiTheme="minorHAnsi" w:cstheme="minorHAnsi"/>
          <w:sz w:val="19"/>
          <w:szCs w:val="19"/>
        </w:rPr>
        <w:t xml:space="preserve"> </w:t>
      </w:r>
      <w:r>
        <w:rPr>
          <w:rFonts w:asciiTheme="minorHAnsi" w:hAnsiTheme="minorHAnsi" w:cstheme="minorHAnsi"/>
          <w:sz w:val="19"/>
          <w:szCs w:val="19"/>
        </w:rPr>
        <w:t xml:space="preserve">is a </w:t>
      </w:r>
      <w:r>
        <w:rPr>
          <w:rFonts w:asciiTheme="minorHAnsi" w:hAnsiTheme="minorHAnsi" w:cstheme="minorHAnsi"/>
          <w:sz w:val="19"/>
          <w:szCs w:val="19"/>
        </w:rPr>
        <w:t>standalone</w:t>
      </w:r>
      <w:r>
        <w:rPr>
          <w:rFonts w:asciiTheme="minorHAnsi" w:hAnsiTheme="minorHAnsi" w:cstheme="minorHAnsi"/>
          <w:sz w:val="19"/>
          <w:szCs w:val="19"/>
        </w:rPr>
        <w:t xml:space="preserve"> air purification system </w:t>
      </w:r>
      <w:r>
        <w:rPr>
          <w:rFonts w:asciiTheme="minorHAnsi" w:hAnsiTheme="minorHAnsi" w:cstheme="minorHAnsi"/>
          <w:sz w:val="19"/>
          <w:szCs w:val="19"/>
        </w:rPr>
        <w:t xml:space="preserve">with two </w:t>
      </w:r>
      <w:r>
        <w:rPr>
          <w:rFonts w:asciiTheme="minorHAnsi" w:hAnsiTheme="minorHAnsi" w:cstheme="minorHAnsi"/>
          <w:sz w:val="19"/>
          <w:szCs w:val="19"/>
        </w:rPr>
        <w:t>separate</w:t>
      </w:r>
      <w:r>
        <w:rPr>
          <w:rFonts w:asciiTheme="minorHAnsi" w:hAnsiTheme="minorHAnsi" w:cstheme="minorHAnsi"/>
          <w:sz w:val="19"/>
          <w:szCs w:val="19"/>
        </w:rPr>
        <w:t xml:space="preserve"> filtration trays. Both of these are</w:t>
      </w:r>
      <w:r>
        <w:rPr>
          <w:rFonts w:asciiTheme="minorHAnsi" w:hAnsiTheme="minorHAnsi" w:cstheme="minorHAnsi"/>
          <w:sz w:val="19"/>
          <w:szCs w:val="19"/>
        </w:rPr>
        <w:t xml:space="preserve"> equipped with multi-step filtration including a pre-filter, carbon filter</w:t>
      </w:r>
      <w:r>
        <w:rPr>
          <w:rFonts w:asciiTheme="minorHAnsi" w:hAnsiTheme="minorHAnsi" w:cstheme="minorHAnsi"/>
          <w:sz w:val="19"/>
          <w:szCs w:val="19"/>
        </w:rPr>
        <w:t xml:space="preserve"> and</w:t>
      </w:r>
      <w:r>
        <w:rPr>
          <w:rFonts w:asciiTheme="minorHAnsi" w:hAnsiTheme="minorHAnsi" w:cstheme="minorHAnsi"/>
          <w:sz w:val="19"/>
          <w:szCs w:val="19"/>
        </w:rPr>
        <w:t xml:space="preserve"> HEPA filter</w:t>
      </w:r>
      <w:r>
        <w:rPr>
          <w:rFonts w:asciiTheme="minorHAnsi" w:hAnsiTheme="minorHAnsi" w:cstheme="minorHAnsi"/>
          <w:sz w:val="19"/>
          <w:szCs w:val="19"/>
        </w:rPr>
        <w:t>. Additionally</w:t>
      </w:r>
      <w:r>
        <w:rPr>
          <w:rFonts w:asciiTheme="minorHAnsi" w:hAnsiTheme="minorHAnsi" w:cstheme="minorHAnsi"/>
          <w:sz w:val="19"/>
          <w:szCs w:val="19"/>
        </w:rPr>
        <w:t>,</w:t>
      </w:r>
      <w:r>
        <w:rPr>
          <w:rFonts w:asciiTheme="minorHAnsi" w:hAnsiTheme="minorHAnsi" w:cstheme="minorHAnsi"/>
          <w:sz w:val="19"/>
          <w:szCs w:val="19"/>
        </w:rPr>
        <w:t xml:space="preserve"> the </w:t>
      </w:r>
      <w:r>
        <w:rPr>
          <w:rFonts w:asciiTheme="minorHAnsi" w:hAnsiTheme="minorHAnsi" w:cstheme="minorHAnsi"/>
          <w:sz w:val="19"/>
          <w:szCs w:val="19"/>
        </w:rPr>
        <w:t>VKPro</w:t>
      </w:r>
      <w:r>
        <w:rPr>
          <w:rFonts w:asciiTheme="minorHAnsi" w:hAnsiTheme="minorHAnsi" w:cstheme="minorHAnsi"/>
          <w:sz w:val="19"/>
          <w:szCs w:val="19"/>
        </w:rPr>
        <w:t xml:space="preserve"> has 8 UV-C lamps </w:t>
      </w:r>
      <w:r>
        <w:rPr>
          <w:rFonts w:asciiTheme="minorHAnsi" w:hAnsiTheme="minorHAnsi" w:cstheme="minorHAnsi"/>
          <w:sz w:val="19"/>
          <w:szCs w:val="19"/>
        </w:rPr>
        <w:t>and</w:t>
      </w:r>
      <w:r>
        <w:rPr>
          <w:rFonts w:asciiTheme="minorHAnsi" w:hAnsiTheme="minorHAnsi" w:cstheme="minorHAnsi"/>
          <w:sz w:val="19"/>
          <w:szCs w:val="19"/>
        </w:rPr>
        <w:t xml:space="preserve"> </w:t>
      </w:r>
      <w:r>
        <w:rPr>
          <w:rFonts w:asciiTheme="minorHAnsi" w:hAnsiTheme="minorHAnsi" w:cstheme="minorHAnsi"/>
          <w:sz w:val="19"/>
          <w:szCs w:val="19"/>
        </w:rPr>
        <w:t>70</w:t>
      </w:r>
      <w:r>
        <w:rPr>
          <w:rFonts w:asciiTheme="minorHAnsi" w:hAnsiTheme="minorHAnsi" w:cstheme="minorHAnsi"/>
          <w:sz w:val="19"/>
          <w:szCs w:val="19"/>
        </w:rPr>
        <w:t xml:space="preserve"> TiO</w:t>
      </w:r>
      <w:r>
        <w:rPr>
          <w:rFonts w:asciiTheme="minorHAnsi" w:hAnsiTheme="minorHAnsi" w:cstheme="minorHAnsi"/>
          <w:sz w:val="19"/>
          <w:szCs w:val="19"/>
          <w:vertAlign w:val="subscript"/>
        </w:rPr>
        <w:t>2</w:t>
      </w:r>
      <w:r>
        <w:rPr>
          <w:rFonts w:asciiTheme="minorHAnsi" w:hAnsiTheme="minorHAnsi" w:cstheme="minorHAnsi"/>
          <w:sz w:val="19"/>
          <w:szCs w:val="19"/>
        </w:rPr>
        <w:t xml:space="preserve"> </w:t>
      </w:r>
      <w:r>
        <w:rPr>
          <w:rFonts w:asciiTheme="minorHAnsi" w:hAnsiTheme="minorHAnsi" w:cstheme="minorHAnsi"/>
          <w:sz w:val="19"/>
          <w:szCs w:val="19"/>
        </w:rPr>
        <w:t xml:space="preserve">hextubes for further </w:t>
      </w:r>
      <w:r>
        <w:rPr>
          <w:rFonts w:asciiTheme="minorHAnsi" w:hAnsiTheme="minorHAnsi" w:cstheme="minorHAnsi"/>
          <w:sz w:val="19"/>
          <w:szCs w:val="19"/>
        </w:rPr>
        <w:t xml:space="preserve">photocatalytic oxidation </w:t>
      </w:r>
      <w:r>
        <w:rPr>
          <w:rFonts w:asciiTheme="minorHAnsi" w:hAnsiTheme="minorHAnsi" w:cstheme="minorHAnsi"/>
          <w:sz w:val="19"/>
          <w:szCs w:val="19"/>
        </w:rPr>
        <w:t>purifying power. The UV</w:t>
      </w:r>
      <w:r>
        <w:rPr>
          <w:rFonts w:asciiTheme="minorHAnsi" w:hAnsiTheme="minorHAnsi" w:cstheme="minorHAnsi"/>
          <w:sz w:val="19"/>
          <w:szCs w:val="19"/>
        </w:rPr>
        <w:t>-</w:t>
      </w:r>
      <w:r>
        <w:rPr>
          <w:rFonts w:asciiTheme="minorHAnsi" w:hAnsiTheme="minorHAnsi" w:cstheme="minorHAnsi"/>
          <w:sz w:val="19"/>
          <w:szCs w:val="19"/>
        </w:rPr>
        <w:t>C</w:t>
      </w:r>
      <w:r>
        <w:rPr>
          <w:rFonts w:asciiTheme="minorHAnsi" w:hAnsiTheme="minorHAnsi" w:cstheme="minorHAnsi"/>
          <w:sz w:val="19"/>
          <w:szCs w:val="19"/>
        </w:rPr>
        <w:t xml:space="preserve"> increases</w:t>
      </w:r>
      <w:r>
        <w:rPr>
          <w:rFonts w:asciiTheme="minorHAnsi" w:hAnsiTheme="minorHAnsi" w:cstheme="minorHAnsi"/>
          <w:sz w:val="19"/>
          <w:szCs w:val="19"/>
        </w:rPr>
        <w:t xml:space="preserve"> </w:t>
      </w:r>
      <w:r>
        <w:rPr>
          <w:rFonts w:asciiTheme="minorHAnsi" w:hAnsiTheme="minorHAnsi" w:cstheme="minorHAnsi"/>
          <w:sz w:val="19"/>
          <w:szCs w:val="19"/>
        </w:rPr>
        <w:t xml:space="preserve">the </w:t>
      </w:r>
      <w:r>
        <w:rPr>
          <w:rFonts w:asciiTheme="minorHAnsi" w:hAnsiTheme="minorHAnsi" w:cstheme="minorHAnsi"/>
          <w:sz w:val="19"/>
          <w:szCs w:val="19"/>
        </w:rPr>
        <w:t>decontamination efficacy</w:t>
      </w:r>
      <w:r>
        <w:rPr>
          <w:rFonts w:asciiTheme="minorHAnsi" w:hAnsiTheme="minorHAnsi" w:cstheme="minorHAnsi"/>
          <w:sz w:val="19"/>
          <w:szCs w:val="19"/>
        </w:rPr>
        <w:t>.</w:t>
      </w:r>
      <w:r>
        <w:rPr>
          <w:rFonts w:asciiTheme="minorHAnsi" w:hAnsiTheme="minorHAnsi" w:cstheme="minorHAnsi"/>
          <w:sz w:val="19"/>
          <w:szCs w:val="19"/>
        </w:rPr>
        <w:t xml:space="preserve"> </w:t>
      </w:r>
      <w:r>
        <w:rPr>
          <w:rFonts w:asciiTheme="minorHAnsi" w:hAnsiTheme="minorHAnsi" w:cstheme="minorHAnsi"/>
          <w:sz w:val="19"/>
          <w:szCs w:val="19"/>
        </w:rPr>
        <w:t xml:space="preserve">It also </w:t>
      </w:r>
      <w:r>
        <w:rPr>
          <w:rFonts w:asciiTheme="minorHAnsi" w:hAnsiTheme="minorHAnsi" w:cstheme="minorHAnsi"/>
          <w:sz w:val="19"/>
          <w:szCs w:val="19"/>
        </w:rPr>
        <w:t>self-decontaminate</w:t>
      </w:r>
      <w:r>
        <w:rPr>
          <w:rFonts w:asciiTheme="minorHAnsi" w:hAnsiTheme="minorHAnsi" w:cstheme="minorHAnsi"/>
          <w:sz w:val="19"/>
          <w:szCs w:val="19"/>
        </w:rPr>
        <w:t>s</w:t>
      </w:r>
      <w:r>
        <w:rPr>
          <w:rFonts w:asciiTheme="minorHAnsi" w:hAnsiTheme="minorHAnsi" w:cstheme="minorHAnsi"/>
          <w:sz w:val="19"/>
          <w:szCs w:val="19"/>
        </w:rPr>
        <w:t xml:space="preserve"> internal components</w:t>
      </w:r>
      <w:r>
        <w:rPr>
          <w:rFonts w:asciiTheme="minorHAnsi" w:hAnsiTheme="minorHAnsi" w:cstheme="minorHAnsi"/>
          <w:sz w:val="19"/>
          <w:szCs w:val="19"/>
        </w:rPr>
        <w:t xml:space="preserve"> in addition to facilitating the photocatalytic oxidation reaction</w:t>
      </w:r>
      <w:r>
        <w:rPr>
          <w:rFonts w:asciiTheme="minorHAnsi" w:hAnsiTheme="minorHAnsi" w:cstheme="minorHAnsi"/>
          <w:sz w:val="19"/>
          <w:szCs w:val="19"/>
        </w:rPr>
        <w:t xml:space="preserve">. </w:t>
      </w:r>
      <w:r>
        <w:rPr>
          <w:rFonts w:asciiTheme="minorHAnsi" w:hAnsiTheme="minorHAnsi" w:cstheme="minorHAnsi"/>
          <w:sz w:val="19"/>
          <w:szCs w:val="19"/>
        </w:rPr>
        <w:t>T</w:t>
      </w:r>
      <w:r>
        <w:rPr>
          <w:rFonts w:asciiTheme="minorHAnsi" w:hAnsiTheme="minorHAnsi" w:cstheme="minorHAnsi"/>
          <w:sz w:val="19"/>
          <w:szCs w:val="19"/>
        </w:rPr>
        <w:t>he pre-filter</w:t>
      </w:r>
      <w:r>
        <w:rPr>
          <w:rFonts w:asciiTheme="minorHAnsi" w:hAnsiTheme="minorHAnsi" w:cstheme="minorHAnsi"/>
          <w:sz w:val="19"/>
          <w:szCs w:val="19"/>
        </w:rPr>
        <w:t>, which</w:t>
      </w:r>
      <w:r>
        <w:rPr>
          <w:rFonts w:asciiTheme="minorHAnsi" w:hAnsiTheme="minorHAnsi" w:cstheme="minorHAnsi"/>
          <w:sz w:val="19"/>
          <w:szCs w:val="19"/>
        </w:rPr>
        <w:t xml:space="preserve"> </w:t>
      </w:r>
      <w:r>
        <w:rPr>
          <w:rFonts w:asciiTheme="minorHAnsi" w:hAnsiTheme="minorHAnsi" w:cstheme="minorHAnsi"/>
          <w:sz w:val="19"/>
          <w:szCs w:val="19"/>
        </w:rPr>
        <w:t xml:space="preserve">is used to </w:t>
      </w:r>
      <w:r>
        <w:rPr>
          <w:rFonts w:asciiTheme="minorHAnsi" w:hAnsiTheme="minorHAnsi" w:cstheme="minorHAnsi"/>
          <w:sz w:val="19"/>
          <w:szCs w:val="19"/>
        </w:rPr>
        <w:t>captures large d</w:t>
      </w:r>
      <w:r>
        <w:rPr>
          <w:rFonts w:asciiTheme="minorHAnsi" w:hAnsiTheme="minorHAnsi" w:cstheme="minorHAnsi"/>
          <w:sz w:val="19"/>
          <w:szCs w:val="19"/>
        </w:rPr>
        <w:t>ust particles and other debris</w:t>
      </w:r>
      <w:r>
        <w:rPr>
          <w:rFonts w:asciiTheme="minorHAnsi" w:hAnsiTheme="minorHAnsi" w:cstheme="minorHAnsi"/>
          <w:sz w:val="19"/>
          <w:szCs w:val="19"/>
        </w:rPr>
        <w:t>, is</w:t>
      </w:r>
      <w:r>
        <w:rPr>
          <w:rFonts w:asciiTheme="minorHAnsi" w:hAnsiTheme="minorHAnsi" w:cstheme="minorHAnsi"/>
          <w:sz w:val="19"/>
          <w:szCs w:val="19"/>
        </w:rPr>
        <w:t xml:space="preserve"> foll</w:t>
      </w:r>
      <w:r>
        <w:rPr>
          <w:rFonts w:asciiTheme="minorHAnsi" w:hAnsiTheme="minorHAnsi" w:cstheme="minorHAnsi"/>
          <w:sz w:val="19"/>
          <w:szCs w:val="19"/>
        </w:rPr>
        <w:t>ow</w:t>
      </w:r>
      <w:r>
        <w:rPr>
          <w:rFonts w:asciiTheme="minorHAnsi" w:hAnsiTheme="minorHAnsi" w:cstheme="minorHAnsi"/>
          <w:sz w:val="19"/>
          <w:szCs w:val="19"/>
        </w:rPr>
        <w:t xml:space="preserve">ed by </w:t>
      </w:r>
      <w:r>
        <w:rPr>
          <w:rFonts w:asciiTheme="minorHAnsi" w:hAnsiTheme="minorHAnsi" w:cstheme="minorHAnsi"/>
          <w:sz w:val="19"/>
          <w:szCs w:val="19"/>
        </w:rPr>
        <w:t xml:space="preserve">an </w:t>
      </w:r>
      <w:r>
        <w:rPr>
          <w:rFonts w:asciiTheme="minorHAnsi" w:hAnsiTheme="minorHAnsi" w:cstheme="minorHAnsi"/>
          <w:sz w:val="19"/>
          <w:szCs w:val="19"/>
        </w:rPr>
        <w:t xml:space="preserve">activated carbon filter </w:t>
      </w:r>
      <w:r>
        <w:rPr>
          <w:rFonts w:asciiTheme="minorHAnsi" w:hAnsiTheme="minorHAnsi" w:cstheme="minorHAnsi"/>
          <w:sz w:val="19"/>
          <w:szCs w:val="19"/>
        </w:rPr>
        <w:t xml:space="preserve">intended </w:t>
      </w:r>
      <w:r>
        <w:rPr>
          <w:rFonts w:asciiTheme="minorHAnsi" w:hAnsiTheme="minorHAnsi" w:cstheme="minorHAnsi"/>
          <w:sz w:val="19"/>
          <w:szCs w:val="19"/>
        </w:rPr>
        <w:t>to remove</w:t>
      </w:r>
      <w:r>
        <w:rPr>
          <w:rFonts w:asciiTheme="minorHAnsi" w:hAnsiTheme="minorHAnsi" w:cstheme="minorHAnsi"/>
          <w:sz w:val="19"/>
          <w:szCs w:val="19"/>
        </w:rPr>
        <w:t xml:space="preserve"> </w:t>
      </w:r>
      <w:r>
        <w:rPr>
          <w:rFonts w:asciiTheme="minorHAnsi" w:hAnsiTheme="minorHAnsi" w:cstheme="minorHAnsi"/>
          <w:sz w:val="19"/>
          <w:szCs w:val="19"/>
        </w:rPr>
        <w:t>volatile organic compounds</w:t>
      </w:r>
      <w:r>
        <w:rPr>
          <w:rFonts w:asciiTheme="minorHAnsi" w:hAnsiTheme="minorHAnsi" w:cstheme="minorHAnsi"/>
          <w:sz w:val="19"/>
          <w:szCs w:val="19"/>
        </w:rPr>
        <w:t xml:space="preserve"> (VOC’s)</w:t>
      </w:r>
      <w:r>
        <w:rPr>
          <w:rFonts w:asciiTheme="minorHAnsi" w:hAnsiTheme="minorHAnsi" w:cstheme="minorHAnsi"/>
          <w:sz w:val="19"/>
          <w:szCs w:val="19"/>
        </w:rPr>
        <w:t xml:space="preserve">. </w:t>
      </w:r>
      <w:r>
        <w:rPr>
          <w:rFonts w:asciiTheme="minorHAnsi" w:hAnsiTheme="minorHAnsi" w:cstheme="minorHAnsi"/>
          <w:sz w:val="19"/>
          <w:szCs w:val="19"/>
        </w:rPr>
        <w:t>A</w:t>
      </w:r>
      <w:r>
        <w:rPr>
          <w:rFonts w:asciiTheme="minorHAnsi" w:hAnsiTheme="minorHAnsi" w:cstheme="minorHAnsi"/>
          <w:sz w:val="19"/>
          <w:szCs w:val="19"/>
        </w:rPr>
        <w:t xml:space="preserve">n </w:t>
      </w:r>
      <w:r>
        <w:rPr>
          <w:rFonts w:asciiTheme="minorHAnsi" w:hAnsiTheme="minorHAnsi" w:cstheme="minorHAnsi"/>
          <w:sz w:val="19"/>
          <w:szCs w:val="19"/>
        </w:rPr>
        <w:t xml:space="preserve">integrated High </w:t>
      </w:r>
      <w:r>
        <w:rPr>
          <w:rFonts w:asciiTheme="minorHAnsi" w:hAnsiTheme="minorHAnsi" w:cstheme="minorHAnsi"/>
          <w:sz w:val="19"/>
          <w:szCs w:val="19"/>
        </w:rPr>
        <w:t>E</w:t>
      </w:r>
      <w:r>
        <w:rPr>
          <w:rFonts w:asciiTheme="minorHAnsi" w:hAnsiTheme="minorHAnsi" w:cstheme="minorHAnsi"/>
          <w:sz w:val="19"/>
          <w:szCs w:val="19"/>
        </w:rPr>
        <w:t>fficiency P</w:t>
      </w:r>
      <w:r>
        <w:rPr>
          <w:rFonts w:asciiTheme="minorHAnsi" w:hAnsiTheme="minorHAnsi" w:cstheme="minorHAnsi"/>
          <w:sz w:val="19"/>
          <w:szCs w:val="19"/>
        </w:rPr>
        <w:t>articulate</w:t>
      </w:r>
      <w:r>
        <w:rPr>
          <w:rFonts w:asciiTheme="minorHAnsi" w:hAnsiTheme="minorHAnsi" w:cstheme="minorHAnsi"/>
          <w:sz w:val="19"/>
          <w:szCs w:val="19"/>
        </w:rPr>
        <w:t xml:space="preserve"> Air</w:t>
      </w:r>
      <w:r>
        <w:rPr>
          <w:rFonts w:asciiTheme="minorHAnsi" w:hAnsiTheme="minorHAnsi" w:cstheme="minorHAnsi"/>
          <w:sz w:val="19"/>
          <w:szCs w:val="19"/>
        </w:rPr>
        <w:t xml:space="preserve"> </w:t>
      </w:r>
      <w:r>
        <w:rPr>
          <w:rFonts w:asciiTheme="minorHAnsi" w:hAnsiTheme="minorHAnsi" w:cstheme="minorHAnsi"/>
          <w:sz w:val="19"/>
          <w:szCs w:val="19"/>
        </w:rPr>
        <w:t>(</w:t>
      </w:r>
      <w:r>
        <w:rPr>
          <w:rFonts w:asciiTheme="minorHAnsi" w:hAnsiTheme="minorHAnsi" w:cstheme="minorHAnsi"/>
          <w:sz w:val="19"/>
          <w:szCs w:val="19"/>
        </w:rPr>
        <w:t>HEPA</w:t>
      </w:r>
      <w:r>
        <w:rPr>
          <w:rFonts w:asciiTheme="minorHAnsi" w:hAnsiTheme="minorHAnsi" w:cstheme="minorHAnsi"/>
          <w:sz w:val="19"/>
          <w:szCs w:val="19"/>
        </w:rPr>
        <w:t>)</w:t>
      </w:r>
      <w:r>
        <w:rPr>
          <w:rFonts w:asciiTheme="minorHAnsi" w:hAnsiTheme="minorHAnsi" w:cstheme="minorHAnsi"/>
          <w:sz w:val="19"/>
          <w:szCs w:val="19"/>
        </w:rPr>
        <w:t xml:space="preserve"> filter removes </w:t>
      </w:r>
      <w:r>
        <w:rPr>
          <w:rFonts w:asciiTheme="minorHAnsi" w:hAnsiTheme="minorHAnsi" w:cstheme="minorHAnsi"/>
          <w:sz w:val="19"/>
          <w:szCs w:val="19"/>
        </w:rPr>
        <w:t>respirable</w:t>
      </w:r>
      <w:r>
        <w:rPr>
          <w:rFonts w:asciiTheme="minorHAnsi" w:hAnsiTheme="minorHAnsi" w:cstheme="minorHAnsi"/>
          <w:sz w:val="19"/>
          <w:szCs w:val="19"/>
        </w:rPr>
        <w:t xml:space="preserve"> particle</w:t>
      </w:r>
      <w:r>
        <w:rPr>
          <w:rFonts w:asciiTheme="minorHAnsi" w:hAnsiTheme="minorHAnsi" w:cstheme="minorHAnsi"/>
          <w:sz w:val="19"/>
          <w:szCs w:val="19"/>
        </w:rPr>
        <w:t>s</w:t>
      </w:r>
      <w:r>
        <w:rPr>
          <w:rFonts w:asciiTheme="minorHAnsi" w:hAnsiTheme="minorHAnsi" w:cstheme="minorHAnsi"/>
          <w:sz w:val="19"/>
          <w:szCs w:val="19"/>
        </w:rPr>
        <w:t xml:space="preserve"> </w:t>
      </w:r>
      <w:r>
        <w:rPr>
          <w:rFonts w:asciiTheme="minorHAnsi" w:hAnsiTheme="minorHAnsi" w:cstheme="minorHAnsi"/>
          <w:sz w:val="19"/>
          <w:szCs w:val="19"/>
        </w:rPr>
        <w:t>(&lt;0.3 µm)</w:t>
      </w:r>
      <w:r>
        <w:rPr>
          <w:rFonts w:asciiTheme="minorHAnsi" w:hAnsiTheme="minorHAnsi" w:cstheme="minorHAnsi"/>
          <w:sz w:val="19"/>
          <w:szCs w:val="19"/>
        </w:rPr>
        <w:t xml:space="preserve">. </w:t>
      </w:r>
      <w:r>
        <w:rPr>
          <w:rFonts w:asciiTheme="minorHAnsi" w:hAnsiTheme="minorHAnsi" w:cstheme="minorHAnsi"/>
          <w:sz w:val="19"/>
          <w:szCs w:val="19"/>
        </w:rPr>
        <w:t>T</w:t>
      </w:r>
      <w:r>
        <w:rPr>
          <w:rFonts w:asciiTheme="minorHAnsi" w:hAnsiTheme="minorHAnsi" w:cstheme="minorHAnsi"/>
          <w:sz w:val="19"/>
          <w:szCs w:val="19"/>
        </w:rPr>
        <w:t>he hextubes and UV-C</w:t>
      </w:r>
      <w:r>
        <w:rPr>
          <w:rFonts w:asciiTheme="minorHAnsi" w:hAnsiTheme="minorHAnsi" w:cstheme="minorHAnsi"/>
          <w:sz w:val="19"/>
          <w:szCs w:val="19"/>
        </w:rPr>
        <w:t xml:space="preserve"> technology</w:t>
      </w:r>
      <w:r>
        <w:rPr>
          <w:rFonts w:asciiTheme="minorHAnsi" w:hAnsiTheme="minorHAnsi" w:cstheme="minorHAnsi"/>
          <w:sz w:val="19"/>
          <w:szCs w:val="19"/>
        </w:rPr>
        <w:t xml:space="preserve"> is intended to</w:t>
      </w:r>
      <w:r>
        <w:rPr>
          <w:rFonts w:asciiTheme="minorHAnsi" w:hAnsiTheme="minorHAnsi" w:cstheme="minorHAnsi"/>
          <w:sz w:val="19"/>
          <w:szCs w:val="19"/>
        </w:rPr>
        <w:t xml:space="preserve"> degrade any biologic</w:t>
      </w:r>
      <w:r>
        <w:rPr>
          <w:rFonts w:asciiTheme="minorHAnsi" w:hAnsiTheme="minorHAnsi" w:cstheme="minorHAnsi"/>
          <w:sz w:val="19"/>
          <w:szCs w:val="19"/>
        </w:rPr>
        <w:t>al</w:t>
      </w:r>
      <w:r>
        <w:rPr>
          <w:rFonts w:asciiTheme="minorHAnsi" w:hAnsiTheme="minorHAnsi" w:cstheme="minorHAnsi"/>
          <w:sz w:val="19"/>
          <w:szCs w:val="19"/>
        </w:rPr>
        <w:t xml:space="preserve"> </w:t>
      </w:r>
      <w:r>
        <w:rPr>
          <w:rFonts w:asciiTheme="minorHAnsi" w:hAnsiTheme="minorHAnsi" w:cstheme="minorHAnsi"/>
          <w:sz w:val="19"/>
          <w:szCs w:val="19"/>
        </w:rPr>
        <w:t>organisms that may have passed through the filters</w:t>
      </w:r>
      <w:r>
        <w:rPr>
          <w:rFonts w:asciiTheme="minorHAnsi" w:hAnsiTheme="minorHAnsi" w:cstheme="minorHAnsi"/>
          <w:sz w:val="19"/>
          <w:szCs w:val="19"/>
        </w:rPr>
        <w:t xml:space="preserve"> using </w:t>
      </w:r>
      <w:r>
        <w:rPr>
          <w:rFonts w:asciiTheme="minorHAnsi" w:hAnsiTheme="minorHAnsi" w:cstheme="minorHAnsi"/>
          <w:sz w:val="19"/>
          <w:szCs w:val="19"/>
        </w:rPr>
        <w:t>h</w:t>
      </w:r>
      <w:r>
        <w:rPr>
          <w:rFonts w:asciiTheme="minorHAnsi" w:hAnsiTheme="minorHAnsi" w:cstheme="minorHAnsi"/>
          <w:sz w:val="19"/>
          <w:szCs w:val="19"/>
        </w:rPr>
        <w:t xml:space="preserve">igh </w:t>
      </w:r>
      <w:r>
        <w:rPr>
          <w:rFonts w:asciiTheme="minorHAnsi" w:hAnsiTheme="minorHAnsi" w:cstheme="minorHAnsi"/>
          <w:sz w:val="19"/>
          <w:szCs w:val="19"/>
        </w:rPr>
        <w:t>i</w:t>
      </w:r>
      <w:r>
        <w:rPr>
          <w:rFonts w:asciiTheme="minorHAnsi" w:hAnsiTheme="minorHAnsi" w:cstheme="minorHAnsi"/>
          <w:sz w:val="19"/>
          <w:szCs w:val="19"/>
        </w:rPr>
        <w:t>ntensity UV-C light</w:t>
      </w:r>
      <w:r>
        <w:rPr>
          <w:rFonts w:asciiTheme="minorHAnsi" w:hAnsiTheme="minorHAnsi" w:cstheme="minorHAnsi"/>
          <w:sz w:val="19"/>
          <w:szCs w:val="19"/>
        </w:rPr>
        <w:t>.</w:t>
      </w:r>
      <w:r>
        <w:rPr>
          <w:rFonts w:asciiTheme="minorHAnsi" w:hAnsiTheme="minorHAnsi" w:cstheme="minorHAnsi"/>
          <w:sz w:val="19"/>
          <w:szCs w:val="19"/>
        </w:rPr>
        <w:t xml:space="preserve"> </w:t>
      </w:r>
      <w:r>
        <w:rPr>
          <w:rFonts w:asciiTheme="minorHAnsi" w:hAnsiTheme="minorHAnsi" w:cstheme="minorHAnsi"/>
          <w:sz w:val="19"/>
          <w:szCs w:val="19"/>
        </w:rPr>
        <w:t>T</w:t>
      </w:r>
      <w:r>
        <w:rPr>
          <w:rFonts w:asciiTheme="minorHAnsi" w:hAnsiTheme="minorHAnsi" w:cstheme="minorHAnsi"/>
          <w:sz w:val="19"/>
          <w:szCs w:val="19"/>
        </w:rPr>
        <w:t>he device</w:t>
      </w:r>
      <w:r>
        <w:rPr>
          <w:rFonts w:asciiTheme="minorHAnsi" w:hAnsiTheme="minorHAnsi" w:cstheme="minorHAnsi"/>
          <w:sz w:val="19"/>
          <w:szCs w:val="19"/>
        </w:rPr>
        <w:t xml:space="preserve"> is equipped </w:t>
      </w:r>
      <w:r>
        <w:rPr>
          <w:rFonts w:asciiTheme="minorHAnsi" w:hAnsiTheme="minorHAnsi" w:cstheme="minorHAnsi"/>
          <w:sz w:val="19"/>
          <w:szCs w:val="19"/>
        </w:rPr>
        <w:t>four</w:t>
      </w:r>
      <w:r>
        <w:rPr>
          <w:rFonts w:asciiTheme="minorHAnsi" w:hAnsiTheme="minorHAnsi" w:cstheme="minorHAnsi"/>
          <w:sz w:val="19"/>
          <w:szCs w:val="19"/>
        </w:rPr>
        <w:t xml:space="preserve"> </w:t>
      </w:r>
      <w:r>
        <w:rPr>
          <w:rFonts w:asciiTheme="minorHAnsi" w:hAnsiTheme="minorHAnsi" w:cstheme="minorHAnsi"/>
          <w:sz w:val="19"/>
          <w:szCs w:val="19"/>
        </w:rPr>
        <w:t>blower</w:t>
      </w:r>
      <w:r>
        <w:rPr>
          <w:rFonts w:asciiTheme="minorHAnsi" w:hAnsiTheme="minorHAnsi" w:cstheme="minorHAnsi"/>
          <w:sz w:val="19"/>
          <w:szCs w:val="19"/>
        </w:rPr>
        <w:t xml:space="preserve"> speeds</w:t>
      </w:r>
      <w:r>
        <w:rPr>
          <w:rFonts w:asciiTheme="minorHAnsi" w:hAnsiTheme="minorHAnsi" w:cstheme="minorHAnsi"/>
          <w:sz w:val="19"/>
          <w:szCs w:val="19"/>
        </w:rPr>
        <w:t xml:space="preserve">, and is designed for rooms of </w:t>
      </w:r>
      <w:r>
        <w:rPr>
          <w:rFonts w:asciiTheme="minorHAnsi" w:hAnsiTheme="minorHAnsi" w:cstheme="minorHAnsi"/>
          <w:sz w:val="19"/>
          <w:szCs w:val="19"/>
        </w:rPr>
        <w:t>100</w:t>
      </w:r>
      <w:r>
        <w:rPr>
          <w:rFonts w:asciiTheme="minorHAnsi" w:hAnsiTheme="minorHAnsi" w:cstheme="minorHAnsi"/>
          <w:sz w:val="19"/>
          <w:szCs w:val="19"/>
        </w:rPr>
        <w:t xml:space="preserve"> m</w:t>
      </w:r>
      <w:r>
        <w:rPr>
          <w:rFonts w:asciiTheme="minorHAnsi" w:hAnsiTheme="minorHAnsi" w:cstheme="minorHAnsi"/>
          <w:sz w:val="19"/>
          <w:szCs w:val="19"/>
          <w:vertAlign w:val="superscript"/>
        </w:rPr>
        <w:t>2</w:t>
      </w:r>
      <w:r>
        <w:rPr>
          <w:rFonts w:asciiTheme="minorHAnsi" w:hAnsiTheme="minorHAnsi" w:cstheme="minorHAnsi"/>
          <w:sz w:val="19"/>
          <w:szCs w:val="19"/>
        </w:rPr>
        <w:t xml:space="preserve"> with a standard ceiling height of 2.4 m.</w:t>
      </w:r>
      <w:r>
        <w:rPr>
          <w:rFonts w:asciiTheme="minorHAnsi" w:hAnsiTheme="minorHAnsi" w:cstheme="minorHAnsi"/>
          <w:sz w:val="19"/>
          <w:szCs w:val="19"/>
        </w:rPr>
        <w:t xml:space="preserve"> The device was tested on its highest fan speed, in the middle of the testing chamber for the duration of all the testing.</w:t>
      </w:r>
    </w:p>
    <w:p>
      <w:pPr>
        <w:pStyle w:val="NormalWeb"/>
        <w:jc w:val="both"/>
        <w:tabs>
          <w:tab w:val="left" w:pos="360"/>
        </w:tabs>
        <w:spacing w:after="0" w:afterAutospacing="0" w:before="0" w:beforeAutospacing="0"/>
        <w:rPr>
          <w:rFonts w:asciiTheme="minorHAnsi" w:hAnsiTheme="minorHAnsi" w:cstheme="minorHAnsi"/>
          <w:sz w:val="19"/>
          <w:szCs w:val="19"/>
        </w:rPr>
      </w:pPr>
    </w:p>
    <w:p>
      <w:pPr>
        <w:jc w:val="both"/>
        <w:rPr>
          <w:rFonts w:asciiTheme="minorHAnsi" w:hAnsiTheme="minorHAnsi" w:cstheme="minorHAnsi"/>
          <w:b/>
          <w:sz w:val="20"/>
          <w:szCs w:val="20"/>
        </w:rPr>
      </w:pPr>
      <w:r>
        <w:rPr>
          <w:rFonts w:asciiTheme="minorHAnsi" w:hAnsiTheme="minorHAnsi" w:cstheme="minorHAnsi"/>
          <w:b/>
          <w:sz w:val="20"/>
          <w:szCs w:val="20"/>
        </w:rPr>
        <w:t>Bioaerosol Testing Chamber</w:t>
      </w:r>
    </w:p>
    <w:p>
      <w:pPr>
        <w:jc w:val="both"/>
        <w:rPr>
          <w:rFonts w:asciiTheme="minorHAnsi" w:hAnsiTheme="minorHAnsi" w:cstheme="minorHAnsi"/>
          <w:i/>
          <w:sz w:val="20"/>
          <w:szCs w:val="18"/>
        </w:rPr>
      </w:pPr>
    </w:p>
    <w:p>
      <w:pPr>
        <w:pStyle w:val="NormalWeb"/>
        <w:ind w:firstLine="360"/>
        <w:jc w:val="both"/>
        <w:tabs>
          <w:tab w:val="left" w:pos="360"/>
        </w:tabs>
        <w:spacing w:after="0" w:afterAutospacing="0" w:before="0" w:beforeAutospacing="0"/>
        <w:rPr>
          <w:rFonts w:asciiTheme="minorHAnsi" w:hAnsiTheme="minorHAnsi" w:cstheme="minorHAnsi"/>
          <w:sz w:val="19"/>
          <w:szCs w:val="19"/>
        </w:rPr>
      </w:pPr>
      <w:r>
        <w:rPr>
          <w:rFonts w:asciiTheme="minorHAnsi" w:hAnsiTheme="minorHAnsi" w:cstheme="minorHAnsi"/>
          <w:sz w:val="19"/>
          <w:szCs w:val="19"/>
        </w:rPr>
        <w:t xml:space="preserve">A </w:t>
      </w:r>
      <w:r>
        <w:rPr>
          <w:rFonts w:asciiTheme="minorHAnsi" w:hAnsiTheme="minorHAnsi" w:cstheme="minorHAnsi"/>
          <w:sz w:val="19"/>
          <w:szCs w:val="19"/>
        </w:rPr>
        <w:t>16m</w:t>
      </w:r>
      <w:r>
        <w:rPr>
          <w:rFonts w:asciiTheme="minorHAnsi" w:hAnsiTheme="minorHAnsi" w:cstheme="minorHAnsi"/>
          <w:sz w:val="19"/>
          <w:szCs w:val="19"/>
          <w:vertAlign w:val="superscript"/>
        </w:rPr>
        <w:t>3</w:t>
      </w:r>
      <w:r>
        <w:rPr>
          <w:rFonts w:asciiTheme="minorHAnsi" w:hAnsiTheme="minorHAnsi" w:cstheme="minorHAnsi"/>
          <w:sz w:val="19"/>
          <w:szCs w:val="19"/>
        </w:rPr>
        <w:t xml:space="preserve"> sealed aerosol test chamber was used to replicate a contaminated room environment and to contain any potential release of aerosols into the surrounding environment.</w:t>
      </w:r>
    </w:p>
    <w:p>
      <w:pPr>
        <w:jc w:val="center"/>
        <w:rPr>
          <w:rFonts w:asciiTheme="minorHAnsi" w:hAnsiTheme="minorHAnsi" w:cstheme="minorHAnsi"/>
          <w:sz w:val="20"/>
          <w:szCs w:val="20"/>
          <w:highlight w:val="yellow"/>
        </w:rPr>
      </w:pPr>
      <w:r>
        <w:rPr>
          <w:rFonts w:asciiTheme="minorHAnsi" w:hAnsiTheme="minorHAnsi" w:cstheme="minorHAnsi"/>
          <w:noProof/>
          <w:sz w:val="20"/>
          <w:szCs w:val="20"/>
        </w:rPr>
        <mc:AlternateContent>
          <mc:Choice Requires="wps">
            <w:drawing>
              <wp:anchor distT="0" distB="0" distL="114300" distR="114300" behindDoc="0" locked="0" layoutInCell="1" simplePos="0" relativeHeight="251760640" allowOverlap="1" hidden="0">
                <wp:simplePos x="0" y="0"/>
                <wp:positionH relativeFrom="column">
                  <wp:posOffset>1109025</wp:posOffset>
                </wp:positionH>
                <wp:positionV relativeFrom="paragraph">
                  <wp:posOffset>8015</wp:posOffset>
                </wp:positionV>
                <wp:extent cx="822191" cy="45719"/>
                <wp:effectExtent l="12700" t="12700" r="12700" b="12700"/>
                <wp:wrapNone/>
                <wp:docPr id="1029" name="shape1029"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2191" cy="45719"/>
                        </a:xfrm>
                        <a:prstGeom prst="rect">
                          <a:avLst/>
                        </a:prstGeom>
                        <a:solidFill>
                          <a:schemeClr val="lt1"/>
                        </a:solidFill>
                        <a:ln>
                          <a:solidFill>
                            <a:schemeClr val="lt1"/>
                          </a:solidFill>
                        </a:ln>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ctr">
                        <a:noAutofit/>
                      </wps:bodyPr>
                    </wps:wsp>
                  </a:graphicData>
                </a:graphic>
              </wp:anchor>
            </w:drawing>
          </mc:Choice>
          <mc:Fallback>
            <w:pict>
              <v:rect id="1029" style="position:absolute;margin-left:87.3248pt;margin-top:0.631102pt;width:64.7394pt;height:3.59992pt;mso-position-horizontal-relative:column;mso-position-vertical-relative:line;v-text-anchor:middle;mso-wrap-style:square;z-index:251760640" o:allowincell="t" filled="t" fillcolor="#ffffff" stroked="t" strokecolor="#ffffff" strokeweight="0.75pt">
                <v:stroke joinstyle="round"/>
              </v:rect>
            </w:pict>
          </mc:Fallback>
        </mc:AlternateContent>
      </w:r>
      <w:r>
        <w:rPr>
          <w:rFonts w:asciiTheme="minorHAnsi" w:hAnsiTheme="minorHAnsi" w:cstheme="minorHAnsi"/>
          <w:noProof/>
          <w:sz w:val="20"/>
          <w:szCs w:val="20"/>
          <w:highlight w:val="yellow"/>
        </w:rPr>
        <w:drawing>
          <wp:inline distT="0" distB="0" distL="0" distR="0">
            <wp:extent cx="706755" cy="2504386"/>
            <wp:effectExtent l="0" t="0" r="0" b="0"/>
            <wp:docPr id="1030" name="shape1030"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3">
                      <a:extLst>
                        <a:ext uri="{28A0092B-C50C-407E-A947-70E740481C1C}">
                          <a14:useLocalDpi xmlns:a14="http://schemas.microsoft.com/office/drawing/2010/main" val="0"/>
                        </a:ext>
                      </a:extLst>
                    </a:blip>
                    <a:srcRect/>
                    <a:stretch>
                      <a:fillRect/>
                    </a:stretch>
                  </pic:blipFill>
                  <pic:spPr>
                    <a:xfrm>
                      <a:off x="0" y="0"/>
                      <a:ext cx="706755" cy="2504386"/>
                    </a:xfrm>
                    <a:prstGeom prst="rect"/>
                    <a:noFill/>
                  </pic:spPr>
                </pic:pic>
              </a:graphicData>
            </a:graphic>
          </wp:inline>
        </w:drawing>
      </w:r>
    </w:p>
    <w:p>
      <w:pPr>
        <w:jc w:val="both"/>
        <w:rPr>
          <w:rFonts w:ascii="Garamond" w:hAnsi="Garamond" w:cstheme="minorHAnsi"/>
          <w:sz w:val="18"/>
          <w:szCs w:val="18"/>
        </w:rPr>
      </w:pPr>
      <w:r>
        <w:rPr>
          <w:rFonts w:ascii="Garamond" w:hAnsi="Garamond" w:cstheme="minorHAnsi"/>
          <w:b/>
          <w:color w:val="0070C0"/>
          <w:sz w:val="18"/>
          <w:szCs w:val="18"/>
        </w:rPr>
        <w:t>Figure 1</w:t>
      </w:r>
      <w:r>
        <w:rPr>
          <w:rFonts w:ascii="Garamond" w:hAnsi="Garamond" w:cstheme="minorHAnsi"/>
          <w:color w:val="0070C0"/>
          <w:sz w:val="18"/>
          <w:szCs w:val="18"/>
        </w:rPr>
        <w:t xml:space="preserve">: </w:t>
      </w:r>
      <w:r>
        <w:rPr>
          <w:rFonts w:ascii="Garamond" w:hAnsi="Garamond" w:cstheme="minorHAnsi"/>
          <w:sz w:val="18"/>
          <w:szCs w:val="18"/>
        </w:rPr>
        <w:t>VKPro</w:t>
      </w:r>
      <w:r>
        <w:rPr>
          <w:rFonts w:ascii="Garamond" w:hAnsi="Garamond" w:cstheme="minorHAnsi"/>
          <w:sz w:val="18"/>
          <w:szCs w:val="18"/>
        </w:rPr>
        <w:t xml:space="preserve"> Device: HEPA with UV</w:t>
      </w:r>
      <w:r>
        <w:rPr>
          <w:rFonts w:ascii="Garamond" w:hAnsi="Garamond" w:cstheme="minorHAnsi"/>
          <w:sz w:val="18"/>
          <w:szCs w:val="18"/>
        </w:rPr>
        <w:t>-</w:t>
      </w:r>
      <w:r>
        <w:rPr>
          <w:rFonts w:ascii="Garamond" w:hAnsi="Garamond" w:cstheme="minorHAnsi"/>
          <w:sz w:val="18"/>
          <w:szCs w:val="18"/>
        </w:rPr>
        <w:t xml:space="preserve">C </w:t>
      </w:r>
      <w:r>
        <w:rPr>
          <w:rFonts w:ascii="Garamond" w:hAnsi="Garamond" w:cstheme="minorHAnsi"/>
          <w:sz w:val="18"/>
          <w:szCs w:val="18"/>
        </w:rPr>
        <w:t>and hextubes</w:t>
      </w:r>
      <w:r>
        <w:rPr>
          <w:rFonts w:ascii="Garamond" w:hAnsi="Garamond" w:cstheme="minorHAnsi"/>
          <w:sz w:val="18"/>
          <w:szCs w:val="18"/>
        </w:rPr>
        <w:t xml:space="preserve"> technology. Integrated pre-filter and carbon</w:t>
      </w:r>
      <w:r>
        <w:rPr>
          <w:rFonts w:ascii="Garamond" w:hAnsi="Garamond" w:cstheme="minorHAnsi"/>
          <w:sz w:val="18"/>
          <w:szCs w:val="18"/>
        </w:rPr>
        <w:t xml:space="preserve"> filter</w:t>
      </w:r>
      <w:r>
        <w:rPr>
          <w:rFonts w:ascii="Garamond" w:hAnsi="Garamond" w:cstheme="minorHAnsi"/>
          <w:sz w:val="18"/>
          <w:szCs w:val="18"/>
        </w:rPr>
        <w:t xml:space="preserve"> for further polishing of treated air. Multi-speed capable </w:t>
      </w:r>
      <w:r>
        <w:rPr>
          <w:rFonts w:ascii="Garamond" w:hAnsi="Garamond" w:cstheme="minorHAnsi"/>
          <w:sz w:val="18"/>
          <w:szCs w:val="18"/>
        </w:rPr>
        <w:t>of 200-358 CFM</w:t>
      </w:r>
      <w:r>
        <w:rPr>
          <w:rFonts w:ascii="Garamond" w:hAnsi="Garamond" w:cstheme="minorHAnsi"/>
          <w:sz w:val="18"/>
          <w:szCs w:val="18"/>
        </w:rPr>
        <w:t xml:space="preserve"> flowrate.</w:t>
      </w:r>
    </w:p>
    <w:p>
      <w:pPr>
        <w:pStyle w:val="NormalWeb"/>
        <w:jc w:val="both"/>
        <w:tabs>
          <w:tab w:val="left" w:pos="360"/>
        </w:tabs>
        <w:spacing w:after="0" w:afterAutospacing="0" w:before="0" w:beforeAutospacing="0"/>
        <w:rPr>
          <w:rFonts w:asciiTheme="minorHAnsi" w:hAnsiTheme="minorHAnsi" w:cstheme="minorHAnsi"/>
          <w:sz w:val="19"/>
          <w:szCs w:val="19"/>
        </w:rPr>
      </w:pPr>
    </w:p>
    <w:p>
      <w:pPr>
        <w:jc w:val="both"/>
        <w:rPr>
          <w:rFonts w:asciiTheme="minorHAnsi" w:hAnsiTheme="minorHAnsi" w:cstheme="minorHAnsi"/>
          <w:sz w:val="19"/>
          <w:szCs w:val="19"/>
        </w:rPr>
      </w:pPr>
      <w:r>
        <w:rPr>
          <w:rFonts w:asciiTheme="minorHAnsi" w:hAnsiTheme="minorHAnsi" w:cstheme="minorHAnsi"/>
          <w:sz w:val="19"/>
          <w:szCs w:val="19"/>
          <w:vertAlign w:val="superscript"/>
        </w:rPr>
        <w:t xml:space="preserve"> </w:t>
      </w:r>
      <w:r>
        <w:rPr>
          <w:rFonts w:asciiTheme="minorHAnsi" w:hAnsiTheme="minorHAnsi" w:cstheme="minorHAnsi"/>
          <w:sz w:val="19"/>
          <w:szCs w:val="19"/>
        </w:rPr>
        <w:t xml:space="preserve">The aerosol test chamber is constructed of 304 stainless steel and is equipped with three viewing windows and an air-tight lockable chamber door for system setup and general ingress and egress.  The test chamber internal dimensions are 9.1 ft x 9.1 ft x 7 ft, with a displacement volume of 579 cubic feet, or 16,000 liters. </w:t>
      </w:r>
      <w:r>
        <w:rPr>
          <w:rFonts w:asciiTheme="minorHAnsi" w:hAnsiTheme="minorHAnsi" w:cstheme="minorHAnsi"/>
          <w:b/>
          <w:color w:val="0070C0"/>
          <w:sz w:val="19"/>
          <w:szCs w:val="19"/>
        </w:rPr>
        <w:t>Figure 2</w:t>
      </w:r>
      <w:r>
        <w:rPr>
          <w:rFonts w:asciiTheme="minorHAnsi" w:hAnsiTheme="minorHAnsi" w:cstheme="minorHAnsi"/>
          <w:sz w:val="19"/>
          <w:szCs w:val="19"/>
        </w:rPr>
        <w:t xml:space="preserve"> shows the bioaerosol chamber used for all testing in this study.</w:t>
      </w:r>
    </w:p>
    <w:p>
      <w:pPr>
        <w:pStyle w:val="NormalWeb"/>
        <w:ind w:firstLine="360"/>
        <w:jc w:val="both"/>
        <w:spacing w:after="0" w:afterAutospacing="0" w:before="0" w:beforeAutospacing="0"/>
        <w:rPr>
          <w:rFonts w:asciiTheme="minorHAnsi" w:hAnsiTheme="minorHAnsi" w:cstheme="minorHAnsi"/>
          <w:sz w:val="19"/>
          <w:szCs w:val="19"/>
        </w:rPr>
      </w:pPr>
    </w:p>
    <w:p>
      <w:pPr>
        <w:pStyle w:val="NormalWeb"/>
        <w:jc w:val="both"/>
        <w:tabs>
          <w:tab w:val="left" w:pos="360"/>
        </w:tabs>
        <w:spacing w:after="0" w:afterAutospacing="0" w:before="0" w:beforeAutospacing="0"/>
        <w:rPr>
          <w:rFonts w:asciiTheme="minorHAnsi" w:hAnsiTheme="minorHAnsi" w:cstheme="minorHAnsi"/>
          <w:sz w:val="19"/>
          <w:szCs w:val="19"/>
        </w:rPr>
      </w:pPr>
    </w:p>
    <w:p>
      <w:pPr>
        <w:jc w:val="center"/>
        <w:rPr>
          <w:rFonts w:asciiTheme="minorHAnsi" w:hAnsiTheme="minorHAnsi" w:cstheme="minorHAnsi"/>
          <w:sz w:val="19"/>
          <w:szCs w:val="19"/>
        </w:rPr>
      </w:pPr>
      <w:r>
        <w:rPr>
          <w:rFonts w:asciiTheme="minorHAnsi" w:hAnsiTheme="minorHAnsi" w:cstheme="minorHAnsi"/>
          <w:noProof/>
          <w:sz w:val="19"/>
          <w:szCs w:val="19"/>
        </w:rPr>
        <w:drawing>
          <wp:inline distT="0" distB="0" distL="0" distR="0">
            <wp:extent cx="2468880" cy="1854386"/>
            <wp:effectExtent l="9525" t="9525" r="9525" b="9525"/>
            <wp:docPr id="1031" name="shape1031"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4">
                      <a:extLst>
                        <a:ext uri="{28A0092B-C50C-407E-A947-70E740481C1C}">
                          <a14:useLocalDpi xmlns:a14="http://schemas.microsoft.com/office/drawing/2010/main" val="0"/>
                        </a:ext>
                      </a:extLst>
                    </a:blip>
                    <a:srcRect/>
                    <a:stretch>
                      <a:fillRect/>
                    </a:stretch>
                  </pic:blipFill>
                  <pic:spPr>
                    <a:xfrm>
                      <a:off x="0" y="0"/>
                      <a:ext cx="2468880" cy="1854386"/>
                    </a:xfrm>
                    <a:prstGeom prst="rect"/>
                    <a:noFill/>
                    <a:ln>
                      <a:solidFill>
                        <a:schemeClr val="dk1">
                          <a:lumMod val="50000"/>
                          <a:lumOff val="50000"/>
                        </a:schemeClr>
                      </a:solidFill>
                    </a:ln>
                  </pic:spPr>
                </pic:pic>
              </a:graphicData>
            </a:graphic>
          </wp:inline>
        </w:drawing>
      </w:r>
    </w:p>
    <w:p>
      <w:pPr>
        <w:rPr>
          <w:rFonts w:asciiTheme="minorHAnsi" w:hAnsiTheme="minorHAnsi" w:cstheme="minorHAnsi"/>
          <w:b/>
          <w:color w:val="0070C0"/>
          <w:sz w:val="18"/>
          <w:szCs w:val="18"/>
        </w:rPr>
      </w:pPr>
    </w:p>
    <w:p>
      <w:pPr>
        <w:jc w:val="both"/>
        <w:rPr>
          <w:rFonts w:asciiTheme="minorHAnsi" w:hAnsiTheme="minorHAnsi" w:cstheme="minorHAnsi"/>
          <w:b/>
          <w:sz w:val="20"/>
          <w:szCs w:val="20"/>
        </w:rPr>
      </w:pPr>
      <w:r>
        <w:rPr>
          <w:rFonts w:ascii="Garamond" w:hAnsi="Garamond" w:cstheme="minorHAnsi"/>
          <w:b/>
          <w:color w:val="0070C0"/>
          <w:sz w:val="18"/>
          <w:szCs w:val="18"/>
        </w:rPr>
        <w:t>Figure 2:</w:t>
      </w:r>
      <w:r>
        <w:rPr>
          <w:rFonts w:ascii="Garamond" w:hAnsi="Garamond" w:cstheme="minorHAnsi"/>
          <w:i/>
          <w:color w:val="0070C0"/>
          <w:sz w:val="18"/>
          <w:szCs w:val="18"/>
        </w:rPr>
        <w:t xml:space="preserve"> </w:t>
      </w:r>
      <w:r>
        <w:rPr>
          <w:rFonts w:ascii="Garamond" w:hAnsi="Garamond" w:cstheme="minorHAnsi"/>
          <w:sz w:val="18"/>
          <w:szCs w:val="18"/>
        </w:rPr>
        <w:t xml:space="preserve">Stainless Steel Bioaerosol Test Chamber used for all </w:t>
      </w:r>
      <w:r>
        <w:rPr>
          <w:rFonts w:ascii="Garamond" w:hAnsi="Garamond" w:cstheme="minorHAnsi"/>
          <w:sz w:val="18"/>
          <w:szCs w:val="18"/>
        </w:rPr>
        <w:t>VKPro</w:t>
      </w:r>
      <w:r>
        <w:rPr>
          <w:rFonts w:ascii="Garamond" w:hAnsi="Garamond" w:cstheme="minorHAnsi"/>
          <w:sz w:val="18"/>
          <w:szCs w:val="18"/>
        </w:rPr>
        <w:t xml:space="preserve"> Testing.  Chamber is equipped with HEPA in/out, multiple bio</w:t>
      </w:r>
      <w:r>
        <w:rPr>
          <w:rFonts w:ascii="Garamond" w:hAnsi="Garamond" w:cstheme="minorHAnsi"/>
          <w:sz w:val="18"/>
          <w:szCs w:val="18"/>
        </w:rPr>
        <w:t xml:space="preserve"> </w:t>
      </w:r>
      <w:r>
        <w:rPr>
          <w:rFonts w:ascii="Garamond" w:hAnsi="Garamond" w:cstheme="minorHAnsi"/>
          <w:sz w:val="18"/>
          <w:szCs w:val="18"/>
        </w:rPr>
        <w:t>aerosol sampling ports, decontamination and pressure balance. Exterior picture</w:t>
      </w:r>
      <w:r>
        <w:rPr>
          <w:rFonts w:ascii="Garamond" w:hAnsi="Garamond" w:cstheme="minorHAnsi"/>
          <w:sz w:val="18"/>
          <w:szCs w:val="18"/>
        </w:rPr>
        <w:t>.</w:t>
      </w:r>
      <w:r>
        <w:rPr>
          <w:rFonts w:asciiTheme="minorHAnsi" w:hAnsiTheme="minorHAnsi" w:cstheme="minorHAnsi"/>
          <w:b/>
          <w:sz w:val="20"/>
          <w:szCs w:val="20"/>
        </w:rPr>
        <w:t xml:space="preserve"> </w:t>
      </w:r>
    </w:p>
    <w:p>
      <w:pPr>
        <w:rPr>
          <w:rFonts w:asciiTheme="minorHAnsi" w:hAnsiTheme="minorHAnsi" w:cstheme="minorHAnsi"/>
          <w:sz w:val="18"/>
          <w:szCs w:val="18"/>
        </w:rPr>
      </w:pPr>
    </w:p>
    <w:p>
      <w:pPr>
        <w:ind w:firstLine="360"/>
        <w:jc w:val="both"/>
        <w:rPr>
          <w:rFonts w:asciiTheme="minorHAnsi" w:hAnsiTheme="minorHAnsi" w:cstheme="minorHAnsi"/>
          <w:sz w:val="19"/>
          <w:szCs w:val="19"/>
        </w:rPr>
      </w:pPr>
      <w:r>
        <w:rPr>
          <w:rFonts w:asciiTheme="minorHAnsi" w:hAnsiTheme="minorHAnsi" w:cstheme="minorHAnsi"/>
          <w:sz w:val="19"/>
          <w:szCs w:val="19"/>
        </w:rPr>
        <w:t xml:space="preserve">The chamber is equipped with filtered HEPA inlets, digital internal temperature and humidity monitor, external humidifiers, lighting system, multiple sampling ports, aerosol mixing fans, and a HEPA filtered exhaust system that are operated with wireless remote control. For testing, the chamber was equipped with four 3/8-inch diameter stainless steel probes for aerosol sampling, a 1-inch diameter port for </w:t>
      </w:r>
    </w:p>
    <w:p>
      <w:pPr>
        <w:rPr>
          <w:rFonts w:ascii="Garamond" w:hAnsi="Garamond" w:cstheme="minorHAnsi"/>
          <w:i/>
          <w:sz w:val="18"/>
          <w:szCs w:val="18"/>
        </w:rPr>
      </w:pPr>
    </w:p>
    <w:p>
      <w:pPr>
        <w:jc w:val="center"/>
        <w:rPr>
          <w:rFonts w:ascii="Garamond" w:hAnsi="Garamond" w:cstheme="minorHAnsi"/>
          <w:b/>
          <w:color w:val="0070C0"/>
          <w:sz w:val="18"/>
          <w:szCs w:val="18"/>
        </w:rPr>
        <w:sectPr>
          <w:type w:val="continuous"/>
          <w:pgSz w:w="12240" w:h="15840" w:code="1"/>
          <w:pgMar w:top="1440" w:right="1080" w:bottom="720" w:left="1080" w:header="720" w:footer="576" w:gutter="0"/>
          <w:cols w:space="432" w:num="2"/>
          <w:docGrid w:linePitch="360"/>
          <w:headerReference w:type="default" r:id="rId5"/>
        </w:sectPr>
      </w:pPr>
    </w:p>
    <w:p>
      <w:pPr>
        <w:jc w:val="center"/>
        <w:rPr>
          <w:rFonts w:ascii="Garamond" w:hAnsi="Garamond" w:cstheme="minorHAnsi"/>
          <w:b/>
          <w:color w:val="0070C0"/>
          <w:sz w:val="18"/>
          <w:szCs w:val="18"/>
        </w:rPr>
      </w:pPr>
      <w:r>
        <w:rPr>
          <w:rFonts w:asciiTheme="minorHAnsi" w:hAnsiTheme="minorHAnsi" w:cstheme="minorHAnsi"/>
          <w:noProof/>
        </w:rPr>
        <w:drawing>
          <wp:inline distT="0" distB="0" distL="0" distR="0">
            <wp:extent cx="5120901" cy="3840676"/>
            <wp:effectExtent l="0" t="0" r="0" b="0"/>
            <wp:docPr id="1032" name="shape1032"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pic:cNvPicPr>
                  </pic:nvPicPr>
                  <pic:blipFill>
                    <a:blip r:embed="rId6">
                      <a:extLst>
                        <a:ext uri="{28A0092B-C50C-407E-A947-70E740481C1C}">
                          <a14:useLocalDpi xmlns:a14="http://schemas.microsoft.com/office/drawing/2010/main" val="0"/>
                        </a:ext>
                      </a:extLst>
                    </a:blip>
                    <a:srcRect/>
                    <a:stretch>
                      <a:fillRect/>
                    </a:stretch>
                  </pic:blipFill>
                  <pic:spPr>
                    <a:xfrm>
                      <a:off x="0" y="0"/>
                      <a:ext cx="5120901" cy="3840676"/>
                    </a:xfrm>
                    <a:prstGeom prst="rect"/>
                  </pic:spPr>
                </pic:pic>
              </a:graphicData>
            </a:graphic>
          </wp:inline>
        </w:drawing>
      </w:r>
    </w:p>
    <w:p>
      <w:pPr>
        <w:jc w:val="center"/>
        <w:rPr>
          <w:rFonts w:asciiTheme="minorHAnsi" w:hAnsiTheme="minorHAnsi" w:cstheme="minorHAnsi"/>
          <w:i/>
          <w:sz w:val="18"/>
          <w:szCs w:val="18"/>
        </w:rPr>
      </w:pPr>
      <w:r>
        <w:rPr>
          <w:rFonts w:ascii="Garamond" w:hAnsi="Garamond" w:cstheme="minorHAnsi"/>
          <w:b/>
          <w:color w:val="0070C0"/>
          <w:sz w:val="18"/>
          <w:szCs w:val="18"/>
        </w:rPr>
        <w:t>Figure 3:</w:t>
      </w:r>
      <w:r>
        <w:rPr>
          <w:rFonts w:ascii="Garamond" w:hAnsi="Garamond" w:cstheme="minorHAnsi"/>
          <w:sz w:val="18"/>
          <w:szCs w:val="18"/>
        </w:rPr>
        <w:t xml:space="preserve"> Bio-Aerosol Test Chamber Flow Diagram.  Chamber includes bioaerosol induction, multiple bioaerosol sampling ports, Particle size monitoring, internal mixing fans, temperature and humidity controls. Main system HEPA Evacuation System not pictured.</w:t>
      </w:r>
    </w:p>
    <w:p>
      <w:pPr>
        <w:jc w:val="center"/>
        <w:rPr>
          <w:rFonts w:asciiTheme="minorHAnsi" w:hAnsiTheme="minorHAnsi" w:cstheme="minorHAnsi"/>
          <w:i/>
          <w:sz w:val="18"/>
          <w:szCs w:val="18"/>
        </w:rPr>
      </w:pPr>
    </w:p>
    <w:p>
      <w:pPr>
        <w:jc w:val="center"/>
        <w:rPr>
          <w:rFonts w:ascii="Garamond" w:hAnsi="Garamond" w:cstheme="minorHAnsi"/>
          <w:sz w:val="18"/>
          <w:szCs w:val="18"/>
        </w:rPr>
      </w:pPr>
    </w:p>
    <w:p>
      <w:pPr>
        <w:jc w:val="center"/>
        <w:rPr>
          <w:rFonts w:asciiTheme="minorHAnsi" w:hAnsiTheme="minorHAnsi" w:cstheme="minorHAnsi"/>
          <w:i/>
          <w:sz w:val="18"/>
          <w:szCs w:val="18"/>
        </w:rPr>
        <w:sectPr>
          <w:type w:val="continuous"/>
          <w:pgSz w:w="12240" w:h="15840" w:code="1"/>
          <w:pgMar w:top="1440" w:right="1080" w:bottom="720" w:left="1080" w:header="720" w:footer="576" w:gutter="0"/>
          <w:cols w:space="432"/>
          <w:docGrid w:linePitch="360"/>
        </w:sectPr>
      </w:pPr>
    </w:p>
    <w:p>
      <w:pPr>
        <w:jc w:val="both"/>
        <w:rPr>
          <w:rFonts w:asciiTheme="minorHAnsi" w:hAnsiTheme="minorHAnsi" w:cstheme="minorHAnsi"/>
          <w:sz w:val="18"/>
          <w:szCs w:val="18"/>
        </w:rPr>
      </w:pPr>
      <w:r>
        <w:rPr>
          <w:rFonts w:asciiTheme="minorHAnsi" w:hAnsiTheme="minorHAnsi" w:cstheme="minorHAnsi"/>
          <w:sz w:val="19"/>
          <w:szCs w:val="19"/>
        </w:rPr>
        <w:t>bio-aerosol dissemination into the chamber using a Collison 24-jet nebulizer or dry powder eductor for the aerosolization of the microorganisms</w:t>
      </w:r>
      <w:r>
        <w:rPr>
          <w:rFonts w:asciiTheme="minorHAnsi" w:hAnsiTheme="minorHAnsi" w:cstheme="minorHAnsi"/>
          <w:sz w:val="19"/>
          <w:szCs w:val="19"/>
        </w:rPr>
        <w:t xml:space="preserve"> and spores, respectively</w:t>
      </w:r>
      <w:r>
        <w:rPr>
          <w:rFonts w:asciiTheme="minorHAnsi" w:hAnsiTheme="minorHAnsi" w:cstheme="minorHAnsi"/>
          <w:sz w:val="19"/>
          <w:szCs w:val="19"/>
        </w:rPr>
        <w:t>.</w:t>
      </w:r>
    </w:p>
    <w:p>
      <w:pPr>
        <w:jc w:val="both"/>
        <w:rPr>
          <w:rFonts w:asciiTheme="minorHAnsi" w:hAnsiTheme="minorHAnsi" w:cstheme="minorHAnsi"/>
          <w:sz w:val="18"/>
          <w:szCs w:val="18"/>
        </w:rPr>
      </w:pPr>
    </w:p>
    <w:p>
      <w:pPr>
        <w:ind w:firstLine="360"/>
        <w:jc w:val="both"/>
        <w:rPr>
          <w:rFonts w:asciiTheme="minorHAnsi" w:hAnsiTheme="minorHAnsi" w:cstheme="minorHAnsi"/>
          <w:sz w:val="19"/>
          <w:szCs w:val="19"/>
        </w:rPr>
      </w:pPr>
      <w:r>
        <w:rPr>
          <w:rFonts w:asciiTheme="minorHAnsi" w:hAnsiTheme="minorHAnsi" w:cstheme="minorHAnsi"/>
          <w:sz w:val="19"/>
          <w:szCs w:val="19"/>
        </w:rPr>
        <w:t>In order to avoid wall effects, a</w:t>
      </w:r>
      <w:r>
        <w:rPr>
          <w:rFonts w:asciiTheme="minorHAnsi" w:hAnsiTheme="minorHAnsi" w:cstheme="minorHAnsi"/>
          <w:sz w:val="19"/>
          <w:szCs w:val="19"/>
        </w:rPr>
        <w:t xml:space="preserve">ll sample and </w:t>
      </w:r>
      <w:r>
        <w:rPr>
          <w:rFonts w:asciiTheme="minorHAnsi" w:hAnsiTheme="minorHAnsi" w:cstheme="minorHAnsi"/>
          <w:sz w:val="19"/>
          <w:szCs w:val="19"/>
        </w:rPr>
        <w:t xml:space="preserve">dissemination ports were inserted approximately 18 inches </w:t>
      </w:r>
      <w:r>
        <w:rPr>
          <w:rFonts w:asciiTheme="minorHAnsi" w:hAnsiTheme="minorHAnsi" w:cstheme="minorHAnsi"/>
          <w:sz w:val="19"/>
          <w:szCs w:val="19"/>
        </w:rPr>
        <w:t xml:space="preserve">in </w:t>
      </w:r>
      <w:r>
        <w:rPr>
          <w:rFonts w:asciiTheme="minorHAnsi" w:hAnsiTheme="minorHAnsi" w:cstheme="minorHAnsi"/>
          <w:sz w:val="19"/>
          <w:szCs w:val="19"/>
        </w:rPr>
        <w:t xml:space="preserve">from the interior walls of the chamber </w:t>
      </w:r>
      <w:r>
        <w:rPr>
          <w:rFonts w:asciiTheme="minorHAnsi" w:hAnsiTheme="minorHAnsi" w:cstheme="minorHAnsi"/>
          <w:sz w:val="19"/>
          <w:szCs w:val="19"/>
        </w:rPr>
        <w:t xml:space="preserve">and at a height of approximately 40 inches from the floor </w:t>
      </w:r>
      <w:r>
        <w:rPr>
          <w:rFonts w:asciiTheme="minorHAnsi" w:hAnsiTheme="minorHAnsi" w:cstheme="minorHAnsi"/>
          <w:sz w:val="19"/>
          <w:szCs w:val="19"/>
        </w:rPr>
        <w:t>to avoid wall effects.</w:t>
      </w:r>
      <w:r>
        <w:rPr>
          <w:rFonts w:asciiTheme="minorHAnsi" w:hAnsiTheme="minorHAnsi" w:cstheme="minorHAnsi"/>
          <w:sz w:val="19"/>
          <w:szCs w:val="19"/>
        </w:rPr>
        <w:t xml:space="preserve"> </w:t>
      </w:r>
      <w:r>
        <w:rPr>
          <w:rFonts w:asciiTheme="minorHAnsi" w:hAnsiTheme="minorHAnsi" w:cstheme="minorHAnsi"/>
          <w:sz w:val="19"/>
          <w:szCs w:val="19"/>
        </w:rPr>
        <w:t xml:space="preserve">The aerosol sampling and aerosol dissemination probes are stainless steel and bulk headed through the chamber walls to provide external remote access to the aerosol generator and samplers during testing. </w:t>
      </w:r>
      <w:r>
        <w:rPr>
          <w:rFonts w:asciiTheme="minorHAnsi" w:hAnsiTheme="minorHAnsi" w:cstheme="minorHAnsi"/>
          <w:sz w:val="19"/>
          <w:szCs w:val="19"/>
        </w:rPr>
        <w:t xml:space="preserve">The test chamber is equipped with two high-flow HEPA filters for the introduction of filtered purified </w:t>
      </w:r>
      <w:r>
        <w:rPr>
          <w:rFonts w:asciiTheme="minorHAnsi" w:hAnsiTheme="minorHAnsi" w:cstheme="minorHAnsi"/>
          <w:sz w:val="19"/>
          <w:szCs w:val="19"/>
        </w:rPr>
        <w:t xml:space="preserve">room </w:t>
      </w:r>
      <w:r>
        <w:rPr>
          <w:rFonts w:asciiTheme="minorHAnsi" w:hAnsiTheme="minorHAnsi" w:cstheme="minorHAnsi"/>
          <w:sz w:val="19"/>
          <w:szCs w:val="19"/>
        </w:rPr>
        <w:t>air into the test chamber during aerosol evacuation/purging of the system between test trials</w:t>
      </w:r>
      <w:r>
        <w:rPr>
          <w:rFonts w:asciiTheme="minorHAnsi" w:hAnsiTheme="minorHAnsi" w:cstheme="minorHAnsi"/>
          <w:sz w:val="19"/>
          <w:szCs w:val="19"/>
        </w:rPr>
        <w:t>.</w:t>
      </w:r>
      <w:r>
        <w:rPr>
          <w:rFonts w:asciiTheme="minorHAnsi" w:hAnsiTheme="minorHAnsi" w:cstheme="minorHAnsi"/>
          <w:sz w:val="19"/>
          <w:szCs w:val="19"/>
        </w:rPr>
        <w:t xml:space="preserve"> </w:t>
      </w:r>
      <w:r>
        <w:rPr>
          <w:rFonts w:asciiTheme="minorHAnsi" w:hAnsiTheme="minorHAnsi" w:cstheme="minorHAnsi"/>
          <w:sz w:val="19"/>
          <w:szCs w:val="19"/>
        </w:rPr>
        <w:t>A</w:t>
      </w:r>
      <w:r>
        <w:rPr>
          <w:rFonts w:asciiTheme="minorHAnsi" w:hAnsiTheme="minorHAnsi" w:cstheme="minorHAnsi"/>
          <w:sz w:val="19"/>
          <w:szCs w:val="19"/>
        </w:rPr>
        <w:t xml:space="preserve"> HEPA filtered exhaust blower</w:t>
      </w:r>
      <w:r>
        <w:rPr>
          <w:rFonts w:asciiTheme="minorHAnsi" w:hAnsiTheme="minorHAnsi" w:cstheme="minorHAnsi"/>
          <w:sz w:val="19"/>
          <w:szCs w:val="19"/>
        </w:rPr>
        <w:t>,</w:t>
      </w:r>
      <w:r>
        <w:rPr>
          <w:rFonts w:asciiTheme="minorHAnsi" w:hAnsiTheme="minorHAnsi" w:cstheme="minorHAnsi"/>
          <w:sz w:val="19"/>
          <w:szCs w:val="19"/>
        </w:rPr>
        <w:t xml:space="preserve"> with a 500 ft</w:t>
      </w:r>
      <w:r>
        <w:rPr>
          <w:rFonts w:asciiTheme="minorHAnsi" w:hAnsiTheme="minorHAnsi" w:cstheme="minorHAnsi"/>
          <w:sz w:val="19"/>
          <w:szCs w:val="19"/>
          <w:vertAlign w:val="superscript"/>
        </w:rPr>
        <w:t>3</w:t>
      </w:r>
      <w:r>
        <w:rPr>
          <w:rFonts w:asciiTheme="minorHAnsi" w:hAnsiTheme="minorHAnsi" w:cstheme="minorHAnsi"/>
          <w:sz w:val="19"/>
          <w:szCs w:val="19"/>
        </w:rPr>
        <w:t>/min rated flow capability</w:t>
      </w:r>
      <w:r>
        <w:rPr>
          <w:rFonts w:asciiTheme="minorHAnsi" w:hAnsiTheme="minorHAnsi" w:cstheme="minorHAnsi"/>
          <w:sz w:val="19"/>
          <w:szCs w:val="19"/>
        </w:rPr>
        <w:t>, is used</w:t>
      </w:r>
      <w:r>
        <w:rPr>
          <w:rFonts w:asciiTheme="minorHAnsi" w:hAnsiTheme="minorHAnsi" w:cstheme="minorHAnsi"/>
          <w:sz w:val="19"/>
          <w:szCs w:val="19"/>
        </w:rPr>
        <w:t xml:space="preserve"> for rapid evacuation of remaining bioaerosols. A Magnehelic gauge with a range of</w:t>
      </w:r>
      <w:r>
        <w:rPr>
          <w:rFonts w:asciiTheme="minorHAnsi" w:hAnsiTheme="minorHAnsi" w:cstheme="minorHAnsi"/>
          <w:sz w:val="19"/>
          <w:szCs w:val="19"/>
        </w:rPr>
        <w:t xml:space="preserve"> -</w:t>
      </w:r>
      <w:r>
        <w:rPr>
          <w:rFonts w:asciiTheme="minorHAnsi" w:hAnsiTheme="minorHAnsi" w:cstheme="minorHAnsi"/>
          <w:sz w:val="19"/>
          <w:szCs w:val="19"/>
        </w:rPr>
        <w:t>0.</w:t>
      </w:r>
      <w:r>
        <w:rPr>
          <w:rFonts w:asciiTheme="minorHAnsi" w:hAnsiTheme="minorHAnsi" w:cstheme="minorHAnsi"/>
          <w:sz w:val="19"/>
          <w:szCs w:val="19"/>
        </w:rPr>
        <w:t>5</w:t>
      </w:r>
      <w:r>
        <w:rPr>
          <w:rFonts w:asciiTheme="minorHAnsi" w:hAnsiTheme="minorHAnsi" w:cstheme="minorHAnsi"/>
          <w:sz w:val="19"/>
          <w:szCs w:val="19"/>
        </w:rPr>
        <w:t xml:space="preserve"> </w:t>
      </w:r>
      <w:r>
        <w:rPr>
          <w:rFonts w:asciiTheme="minorHAnsi" w:hAnsiTheme="minorHAnsi" w:cstheme="minorHAnsi"/>
          <w:sz w:val="19"/>
          <w:szCs w:val="19"/>
        </w:rPr>
        <w:t>to</w:t>
      </w:r>
      <w:r>
        <w:rPr>
          <w:rFonts w:asciiTheme="minorHAnsi" w:hAnsiTheme="minorHAnsi" w:cstheme="minorHAnsi"/>
          <w:sz w:val="19"/>
          <w:szCs w:val="19"/>
        </w:rPr>
        <w:t xml:space="preserve"> 0.5 inch</w:t>
      </w:r>
      <w:r>
        <w:rPr>
          <w:rFonts w:asciiTheme="minorHAnsi" w:hAnsiTheme="minorHAnsi" w:cstheme="minorHAnsi"/>
          <w:sz w:val="19"/>
          <w:szCs w:val="19"/>
        </w:rPr>
        <w:t>es of</w:t>
      </w:r>
      <w:r>
        <w:rPr>
          <w:rFonts w:asciiTheme="minorHAnsi" w:hAnsiTheme="minorHAnsi" w:cstheme="minorHAnsi"/>
          <w:sz w:val="19"/>
          <w:szCs w:val="19"/>
        </w:rPr>
        <w:t xml:space="preserve"> H</w:t>
      </w:r>
      <w:r>
        <w:rPr>
          <w:rFonts w:asciiTheme="minorHAnsi" w:hAnsiTheme="minorHAnsi" w:cstheme="minorHAnsi"/>
          <w:sz w:val="19"/>
          <w:szCs w:val="19"/>
          <w:vertAlign w:val="subscript"/>
        </w:rPr>
        <w:t>2</w:t>
      </w:r>
      <w:r>
        <w:rPr>
          <w:rFonts w:asciiTheme="minorHAnsi" w:hAnsiTheme="minorHAnsi" w:cstheme="minorHAnsi"/>
          <w:sz w:val="19"/>
          <w:szCs w:val="19"/>
        </w:rPr>
        <w:t xml:space="preserve">O (Dwyer instruments, Michigan City IN) </w:t>
      </w:r>
      <w:r>
        <w:rPr>
          <w:rFonts w:asciiTheme="minorHAnsi" w:hAnsiTheme="minorHAnsi" w:cstheme="minorHAnsi"/>
          <w:sz w:val="19"/>
          <w:szCs w:val="19"/>
        </w:rPr>
        <w:t>i</w:t>
      </w:r>
      <w:r>
        <w:rPr>
          <w:rFonts w:asciiTheme="minorHAnsi" w:hAnsiTheme="minorHAnsi" w:cstheme="minorHAnsi"/>
          <w:sz w:val="19"/>
          <w:szCs w:val="19"/>
        </w:rPr>
        <w:t xml:space="preserve">s </w:t>
      </w:r>
      <w:r>
        <w:rPr>
          <w:rFonts w:asciiTheme="minorHAnsi" w:hAnsiTheme="minorHAnsi" w:cstheme="minorHAnsi"/>
          <w:sz w:val="19"/>
          <w:szCs w:val="19"/>
        </w:rPr>
        <w:t>used to monitor and balance the system pressure during aerosol generation, aerosol purge</w:t>
      </w:r>
      <w:r>
        <w:rPr>
          <w:rFonts w:asciiTheme="minorHAnsi" w:hAnsiTheme="minorHAnsi" w:cstheme="minorHAnsi"/>
          <w:sz w:val="19"/>
          <w:szCs w:val="19"/>
        </w:rPr>
        <w:t>,</w:t>
      </w:r>
      <w:r>
        <w:rPr>
          <w:rFonts w:asciiTheme="minorHAnsi" w:hAnsiTheme="minorHAnsi" w:cstheme="minorHAnsi"/>
          <w:sz w:val="19"/>
          <w:szCs w:val="19"/>
        </w:rPr>
        <w:t xml:space="preserve"> and testing cycles.</w:t>
      </w:r>
    </w:p>
    <w:p>
      <w:pPr>
        <w:jc w:val="both"/>
        <w:rPr>
          <w:rFonts w:asciiTheme="minorHAnsi" w:hAnsiTheme="minorHAnsi" w:cstheme="minorHAnsi"/>
          <w:b/>
          <w:sz w:val="20"/>
          <w:szCs w:val="20"/>
        </w:rPr>
      </w:pPr>
    </w:p>
    <w:p>
      <w:pPr>
        <w:jc w:val="both"/>
        <w:rPr>
          <w:rFonts w:asciiTheme="minorHAnsi" w:hAnsiTheme="minorHAnsi" w:cstheme="minorHAnsi"/>
          <w:b/>
          <w:sz w:val="20"/>
          <w:szCs w:val="20"/>
        </w:rPr>
      </w:pPr>
      <w:r>
        <w:rPr>
          <w:rFonts w:asciiTheme="minorHAnsi" w:hAnsiTheme="minorHAnsi" w:cstheme="minorHAnsi"/>
          <w:b/>
          <w:sz w:val="20"/>
          <w:szCs w:val="20"/>
        </w:rPr>
        <w:t>Environmental Controls</w:t>
      </w:r>
    </w:p>
    <w:p>
      <w:pPr>
        <w:jc w:val="both"/>
        <w:rPr>
          <w:rFonts w:asciiTheme="minorHAnsi" w:hAnsiTheme="minorHAnsi" w:cstheme="minorHAnsi"/>
          <w:sz w:val="20"/>
          <w:szCs w:val="20"/>
        </w:rPr>
      </w:pPr>
    </w:p>
    <w:p>
      <w:pPr>
        <w:ind w:firstLine="360"/>
        <w:jc w:val="both"/>
        <w:rPr>
          <w:rFonts w:asciiTheme="minorHAnsi" w:hAnsiTheme="minorHAnsi" w:cstheme="minorHAnsi"/>
          <w:sz w:val="19"/>
          <w:szCs w:val="19"/>
        </w:rPr>
      </w:pPr>
      <w:r>
        <w:rPr>
          <w:rFonts w:asciiTheme="minorHAnsi" w:hAnsiTheme="minorHAnsi" w:cstheme="minorHAnsi"/>
          <w:sz w:val="19"/>
          <w:szCs w:val="19"/>
        </w:rPr>
        <w:t xml:space="preserve">For increased stability of bioaerosols, relative humidity </w:t>
      </w:r>
    </w:p>
    <w:p>
      <w:pPr>
        <w:ind w:firstLine="360"/>
        <w:jc w:val="both"/>
        <w:rPr>
          <w:rFonts w:asciiTheme="minorHAnsi" w:hAnsiTheme="minorHAnsi" w:cstheme="minorHAnsi"/>
          <w:sz w:val="19"/>
          <w:szCs w:val="19"/>
        </w:rPr>
      </w:pPr>
    </w:p>
    <w:p>
      <w:pPr>
        <w:ind w:firstLine="360"/>
        <w:jc w:val="both"/>
        <w:rPr>
          <w:rFonts w:asciiTheme="minorHAnsi" w:hAnsiTheme="minorHAnsi" w:cstheme="minorHAnsi"/>
          <w:sz w:val="19"/>
          <w:szCs w:val="19"/>
        </w:rPr>
      </w:pPr>
    </w:p>
    <w:p>
      <w:pPr>
        <w:jc w:val="both"/>
        <w:rPr>
          <w:rFonts w:asciiTheme="minorHAnsi" w:hAnsiTheme="minorHAnsi" w:cstheme="minorHAnsi"/>
          <w:sz w:val="19"/>
          <w:szCs w:val="19"/>
        </w:rPr>
      </w:pPr>
      <w:r>
        <w:rPr>
          <w:rFonts w:asciiTheme="minorHAnsi" w:hAnsiTheme="minorHAnsi" w:cstheme="minorHAnsi"/>
          <w:sz w:val="19"/>
          <w:szCs w:val="19"/>
        </w:rPr>
        <w:t xml:space="preserve">inside the chamber </w:t>
      </w:r>
      <w:r>
        <w:rPr>
          <w:rFonts w:asciiTheme="minorHAnsi" w:hAnsiTheme="minorHAnsi" w:cstheme="minorHAnsi"/>
          <w:sz w:val="19"/>
          <w:szCs w:val="19"/>
        </w:rPr>
        <w:t>was</w:t>
      </w:r>
      <w:r>
        <w:rPr>
          <w:rFonts w:asciiTheme="minorHAnsi" w:hAnsiTheme="minorHAnsi" w:cstheme="minorHAnsi"/>
          <w:sz w:val="19"/>
          <w:szCs w:val="19"/>
        </w:rPr>
        <w:t xml:space="preserve"> </w:t>
      </w:r>
      <w:r>
        <w:rPr>
          <w:rFonts w:asciiTheme="minorHAnsi" w:hAnsiTheme="minorHAnsi" w:cstheme="minorHAnsi"/>
          <w:sz w:val="19"/>
          <w:szCs w:val="19"/>
        </w:rPr>
        <w:t xml:space="preserve">kept at </w:t>
      </w:r>
      <w:r>
        <w:rPr>
          <w:rFonts w:asciiTheme="minorHAnsi" w:hAnsiTheme="minorHAnsi" w:cstheme="minorHAnsi"/>
          <w:sz w:val="19"/>
          <w:szCs w:val="19"/>
        </w:rPr>
        <w:t>65</w:t>
      </w:r>
      <w:r>
        <w:rPr>
          <w:rFonts w:asciiTheme="minorHAnsi" w:hAnsiTheme="minorHAnsi" w:cstheme="minorHAnsi"/>
          <w:sz w:val="19"/>
          <w:szCs w:val="19"/>
        </w:rPr>
        <w:t>%</w:t>
      </w:r>
      <w:r>
        <w:rPr>
          <w:rFonts w:asciiTheme="minorHAnsi" w:hAnsiTheme="minorHAnsi" w:cstheme="minorHAnsi"/>
          <w:sz w:val="19"/>
          <w:szCs w:val="19"/>
        </w:rPr>
        <w:t xml:space="preserve"> +/- 5%</w:t>
      </w:r>
      <w:r>
        <w:rPr>
          <w:rFonts w:asciiTheme="minorHAnsi" w:hAnsiTheme="minorHAnsi" w:cstheme="minorHAnsi"/>
          <w:sz w:val="19"/>
          <w:szCs w:val="19"/>
        </w:rPr>
        <w:t xml:space="preserve"> using a </w:t>
      </w:r>
      <w:r>
        <w:rPr>
          <w:rFonts w:asciiTheme="minorHAnsi" w:hAnsiTheme="minorHAnsi" w:cstheme="minorHAnsi"/>
          <w:sz w:val="19"/>
          <w:szCs w:val="19"/>
        </w:rPr>
        <w:t xml:space="preserve">PID </w:t>
      </w:r>
      <w:r>
        <w:rPr>
          <w:rFonts w:asciiTheme="minorHAnsi" w:hAnsiTheme="minorHAnsi" w:cstheme="minorHAnsi"/>
          <w:sz w:val="19"/>
          <w:szCs w:val="19"/>
        </w:rPr>
        <w:t>humidity controller in combination with an ultra-sonic humidifier</w:t>
      </w:r>
      <w:r>
        <w:rPr>
          <w:rFonts w:asciiTheme="minorHAnsi" w:hAnsiTheme="minorHAnsi" w:cstheme="minorHAnsi"/>
          <w:sz w:val="19"/>
          <w:szCs w:val="19"/>
        </w:rPr>
        <w:t xml:space="preserve"> to nebulize filtered DI water</w:t>
      </w:r>
      <w:r>
        <w:rPr>
          <w:rFonts w:asciiTheme="minorHAnsi" w:hAnsiTheme="minorHAnsi" w:cstheme="minorHAnsi"/>
          <w:sz w:val="19"/>
          <w:szCs w:val="19"/>
        </w:rPr>
        <w:t xml:space="preserve">. </w:t>
      </w:r>
      <w:r>
        <w:rPr>
          <w:rFonts w:asciiTheme="minorHAnsi" w:hAnsiTheme="minorHAnsi" w:cstheme="minorHAnsi"/>
          <w:sz w:val="19"/>
          <w:szCs w:val="19"/>
        </w:rPr>
        <w:t>Temperature controls maintain chamber trial conditions at typical ambient conditions of 74</w:t>
      </w:r>
      <w:r>
        <w:rPr>
          <w:rFonts w:asciiTheme="minorHAnsi" w:hAnsiTheme="minorHAnsi" w:cstheme="minorHAnsi"/>
          <w:sz w:val="19"/>
          <w:szCs w:val="19"/>
        </w:rPr>
        <w:sym w:font="Symbol" w:char="F0B0"/>
      </w:r>
      <w:r>
        <w:rPr>
          <w:rFonts w:asciiTheme="minorHAnsi" w:hAnsiTheme="minorHAnsi" w:cstheme="minorHAnsi"/>
          <w:sz w:val="19"/>
          <w:szCs w:val="19"/>
        </w:rPr>
        <w:t>F +/- 2</w:t>
      </w:r>
      <w:r>
        <w:rPr>
          <w:rFonts w:asciiTheme="minorHAnsi" w:hAnsiTheme="minorHAnsi" w:cstheme="minorHAnsi"/>
          <w:sz w:val="19"/>
          <w:szCs w:val="19"/>
        </w:rPr>
        <w:sym w:font="Symbol" w:char="F0B0"/>
      </w:r>
      <w:r>
        <w:rPr>
          <w:rFonts w:asciiTheme="minorHAnsi" w:hAnsiTheme="minorHAnsi" w:cstheme="minorHAnsi"/>
          <w:sz w:val="19"/>
          <w:szCs w:val="19"/>
        </w:rPr>
        <w:t>F</w:t>
      </w:r>
    </w:p>
    <w:p>
      <w:pPr>
        <w:jc w:val="both"/>
        <w:rPr>
          <w:rFonts w:asciiTheme="minorHAnsi" w:hAnsiTheme="minorHAnsi" w:cstheme="minorHAnsi"/>
          <w:sz w:val="20"/>
          <w:szCs w:val="20"/>
        </w:rPr>
      </w:pPr>
    </w:p>
    <w:p>
      <w:pPr>
        <w:jc w:val="both"/>
        <w:rPr>
          <w:rFonts w:asciiTheme="minorHAnsi" w:hAnsiTheme="minorHAnsi" w:cstheme="minorHAnsi"/>
          <w:b/>
          <w:sz w:val="20"/>
          <w:szCs w:val="20"/>
        </w:rPr>
      </w:pPr>
      <w:r>
        <w:rPr>
          <w:rFonts w:asciiTheme="minorHAnsi" w:hAnsiTheme="minorHAnsi" w:cstheme="minorHAnsi"/>
          <w:b/>
          <w:sz w:val="20"/>
          <w:szCs w:val="20"/>
        </w:rPr>
        <w:t>Bioaerosol Generation System</w:t>
      </w:r>
    </w:p>
    <w:p>
      <w:pPr>
        <w:ind w:firstLine="360"/>
        <w:jc w:val="both"/>
        <w:rPr>
          <w:rFonts w:asciiTheme="minorHAnsi" w:hAnsiTheme="minorHAnsi" w:cstheme="minorHAnsi"/>
          <w:sz w:val="20"/>
          <w:szCs w:val="20"/>
        </w:rPr>
      </w:pPr>
    </w:p>
    <w:p>
      <w:pPr>
        <w:ind w:firstLine="360"/>
        <w:jc w:val="both"/>
        <w:rPr>
          <w:rFonts w:asciiTheme="minorHAnsi" w:hAnsiTheme="minorHAnsi" w:cstheme="minorHAnsi"/>
          <w:sz w:val="19"/>
          <w:szCs w:val="19"/>
        </w:rPr>
      </w:pPr>
      <w:r>
        <w:rPr>
          <w:rFonts w:asciiTheme="minorHAnsi" w:hAnsiTheme="minorHAnsi" w:cstheme="minorHAnsi"/>
          <w:sz w:val="19"/>
          <w:szCs w:val="19"/>
        </w:rPr>
        <w:t>All t</w:t>
      </w:r>
      <w:r>
        <w:rPr>
          <w:rFonts w:asciiTheme="minorHAnsi" w:hAnsiTheme="minorHAnsi" w:cstheme="minorHAnsi"/>
          <w:sz w:val="19"/>
          <w:szCs w:val="19"/>
        </w:rPr>
        <w:t>est bioaerosols were disseminated using a Collison 24-jet nebulizer (BGI Inc. Waltham MA)</w:t>
      </w:r>
      <w:r>
        <w:rPr>
          <w:rFonts w:asciiTheme="minorHAnsi" w:hAnsiTheme="minorHAnsi" w:cstheme="minorHAnsi"/>
          <w:sz w:val="19"/>
          <w:szCs w:val="19"/>
        </w:rPr>
        <w:t xml:space="preserve">, </w:t>
      </w:r>
      <w:r>
        <w:rPr>
          <w:rFonts w:asciiTheme="minorHAnsi" w:hAnsiTheme="minorHAnsi" w:cstheme="minorHAnsi"/>
          <w:sz w:val="19"/>
          <w:szCs w:val="19"/>
        </w:rPr>
        <w:t xml:space="preserve">similar to the one shown in </w:t>
      </w:r>
      <w:r>
        <w:rPr>
          <w:rFonts w:asciiTheme="minorHAnsi" w:hAnsiTheme="minorHAnsi" w:cstheme="minorHAnsi"/>
          <w:b/>
          <w:sz w:val="19"/>
          <w:szCs w:val="19"/>
        </w:rPr>
        <w:t xml:space="preserve"> </w:t>
      </w:r>
      <w:r>
        <w:rPr>
          <w:rFonts w:asciiTheme="minorHAnsi" w:hAnsiTheme="minorHAnsi" w:cstheme="minorHAnsi"/>
          <w:b/>
          <w:color w:val="0070C0"/>
          <w:sz w:val="19"/>
          <w:szCs w:val="19"/>
        </w:rPr>
        <w:t>Figure 4</w:t>
      </w:r>
      <w:r>
        <w:rPr>
          <w:rFonts w:asciiTheme="minorHAnsi" w:hAnsiTheme="minorHAnsi" w:cstheme="minorHAnsi"/>
          <w:b/>
          <w:sz w:val="19"/>
          <w:szCs w:val="19"/>
        </w:rPr>
        <w:t xml:space="preserve">, </w:t>
      </w:r>
      <w:r>
        <w:rPr>
          <w:rFonts w:asciiTheme="minorHAnsi" w:hAnsiTheme="minorHAnsi" w:cstheme="minorHAnsi"/>
          <w:sz w:val="19"/>
          <w:szCs w:val="19"/>
        </w:rPr>
        <w:t xml:space="preserve">with the exception of the </w:t>
      </w:r>
      <w:r>
        <w:rPr>
          <w:rFonts w:asciiTheme="minorHAnsi" w:hAnsiTheme="minorHAnsi" w:cstheme="minorHAnsi"/>
          <w:i/>
          <w:sz w:val="19"/>
          <w:szCs w:val="19"/>
        </w:rPr>
        <w:t xml:space="preserve">A. brasiliensis </w:t>
      </w:r>
      <w:r>
        <w:rPr>
          <w:rFonts w:asciiTheme="minorHAnsi" w:hAnsiTheme="minorHAnsi" w:cstheme="minorHAnsi"/>
          <w:sz w:val="19"/>
          <w:szCs w:val="19"/>
        </w:rPr>
        <w:t>spores which were aerosolized using a dry powder eductor. The aerosolization of bioaerosols were</w:t>
      </w:r>
      <w:r>
        <w:rPr>
          <w:rFonts w:asciiTheme="minorHAnsi" w:hAnsiTheme="minorHAnsi" w:cstheme="minorHAnsi"/>
          <w:sz w:val="19"/>
          <w:szCs w:val="19"/>
        </w:rPr>
        <w:t xml:space="preserve"> driven by purified</w:t>
      </w:r>
      <w:r>
        <w:rPr>
          <w:rFonts w:asciiTheme="minorHAnsi" w:hAnsiTheme="minorHAnsi" w:cstheme="minorHAnsi"/>
          <w:sz w:val="19"/>
          <w:szCs w:val="19"/>
        </w:rPr>
        <w:t>,</w:t>
      </w:r>
      <w:r>
        <w:rPr>
          <w:rFonts w:asciiTheme="minorHAnsi" w:hAnsiTheme="minorHAnsi" w:cstheme="minorHAnsi"/>
          <w:sz w:val="19"/>
          <w:szCs w:val="19"/>
        </w:rPr>
        <w:t xml:space="preserve"> filtered house air supply. A pressure regulator allowed for control of disseminated particle size, use rate</w:t>
      </w:r>
      <w:r>
        <w:rPr>
          <w:rFonts w:asciiTheme="minorHAnsi" w:hAnsiTheme="minorHAnsi" w:cstheme="minorHAnsi"/>
          <w:sz w:val="19"/>
          <w:szCs w:val="19"/>
        </w:rPr>
        <w:t>,</w:t>
      </w:r>
      <w:r>
        <w:rPr>
          <w:rFonts w:asciiTheme="minorHAnsi" w:hAnsiTheme="minorHAnsi" w:cstheme="minorHAnsi"/>
          <w:sz w:val="19"/>
          <w:szCs w:val="19"/>
        </w:rPr>
        <w:t xml:space="preserve"> and sheer force generated within the Collison nebulizer.</w:t>
      </w:r>
      <w:r>
        <w:rPr>
          <w:rFonts w:asciiTheme="minorHAnsi" w:hAnsiTheme="minorHAnsi" w:cstheme="minorHAnsi"/>
          <w:sz w:val="19"/>
          <w:szCs w:val="19"/>
        </w:rPr>
        <w:t xml:space="preserve"> </w:t>
      </w:r>
      <w:r>
        <w:rPr>
          <w:rFonts w:asciiTheme="minorHAnsi" w:hAnsiTheme="minorHAnsi" w:cstheme="minorHAnsi"/>
          <w:sz w:val="19"/>
          <w:szCs w:val="19"/>
        </w:rPr>
        <w:t xml:space="preserve">Prior to testing, the Collison nebulizer flow rate and use rate were characterized using an air supply pressure of approximately </w:t>
      </w:r>
      <w:r>
        <w:rPr>
          <w:rFonts w:asciiTheme="minorHAnsi" w:hAnsiTheme="minorHAnsi" w:cstheme="minorHAnsi"/>
          <w:sz w:val="19"/>
          <w:szCs w:val="19"/>
        </w:rPr>
        <w:t>40-</w:t>
      </w:r>
      <w:r>
        <w:rPr>
          <w:rFonts w:asciiTheme="minorHAnsi" w:hAnsiTheme="minorHAnsi" w:cstheme="minorHAnsi"/>
          <w:sz w:val="19"/>
          <w:szCs w:val="19"/>
        </w:rPr>
        <w:t>60</w:t>
      </w:r>
      <w:r>
        <w:rPr>
          <w:rFonts w:asciiTheme="minorHAnsi" w:hAnsiTheme="minorHAnsi" w:cstheme="minorHAnsi"/>
          <w:sz w:val="19"/>
          <w:szCs w:val="19"/>
        </w:rPr>
        <w:t xml:space="preserve"> psi, which </w:t>
      </w:r>
      <w:r>
        <w:rPr>
          <w:rFonts w:asciiTheme="minorHAnsi" w:hAnsiTheme="minorHAnsi" w:cstheme="minorHAnsi"/>
          <w:sz w:val="19"/>
          <w:szCs w:val="19"/>
        </w:rPr>
        <w:t>produced</w:t>
      </w:r>
      <w:r>
        <w:rPr>
          <w:rFonts w:asciiTheme="minorHAnsi" w:hAnsiTheme="minorHAnsi" w:cstheme="minorHAnsi"/>
          <w:sz w:val="19"/>
          <w:szCs w:val="19"/>
        </w:rPr>
        <w:t xml:space="preserve"> </w:t>
      </w:r>
      <w:r>
        <w:rPr>
          <w:rFonts w:asciiTheme="minorHAnsi" w:hAnsiTheme="minorHAnsi" w:cstheme="minorHAnsi"/>
          <w:sz w:val="19"/>
          <w:szCs w:val="19"/>
        </w:rPr>
        <w:t xml:space="preserve">an output volumetric flow rate of </w:t>
      </w:r>
      <w:r>
        <w:rPr>
          <w:rFonts w:asciiTheme="minorHAnsi" w:hAnsiTheme="minorHAnsi" w:cstheme="minorHAnsi"/>
          <w:sz w:val="19"/>
          <w:szCs w:val="19"/>
        </w:rPr>
        <w:t xml:space="preserve">50-80 </w:t>
      </w:r>
      <w:r>
        <w:rPr>
          <w:rFonts w:asciiTheme="minorHAnsi" w:hAnsiTheme="minorHAnsi" w:cstheme="minorHAnsi"/>
          <w:sz w:val="19"/>
          <w:szCs w:val="19"/>
        </w:rPr>
        <w:t>L/</w:t>
      </w:r>
      <w:r>
        <w:rPr>
          <w:rFonts w:asciiTheme="minorHAnsi" w:hAnsiTheme="minorHAnsi" w:cstheme="minorHAnsi"/>
          <w:sz w:val="19"/>
          <w:szCs w:val="19"/>
        </w:rPr>
        <w:t>m</w:t>
      </w:r>
      <w:r>
        <w:rPr>
          <w:rFonts w:asciiTheme="minorHAnsi" w:hAnsiTheme="minorHAnsi" w:cstheme="minorHAnsi"/>
          <w:sz w:val="19"/>
          <w:szCs w:val="19"/>
        </w:rPr>
        <w:t>in</w:t>
      </w:r>
      <w:r>
        <w:rPr>
          <w:rFonts w:asciiTheme="minorHAnsi" w:hAnsiTheme="minorHAnsi" w:cstheme="minorHAnsi"/>
          <w:sz w:val="19"/>
          <w:szCs w:val="19"/>
        </w:rPr>
        <w:t xml:space="preserve"> with a fluid dissemination rate of approximately 1</w:t>
      </w:r>
      <w:r>
        <w:rPr>
          <w:rFonts w:asciiTheme="minorHAnsi" w:hAnsiTheme="minorHAnsi" w:cstheme="minorHAnsi"/>
          <w:sz w:val="19"/>
          <w:szCs w:val="19"/>
        </w:rPr>
        <w:t>.25</w:t>
      </w:r>
      <w:r>
        <w:rPr>
          <w:rFonts w:asciiTheme="minorHAnsi" w:hAnsiTheme="minorHAnsi" w:cstheme="minorHAnsi"/>
          <w:sz w:val="19"/>
          <w:szCs w:val="19"/>
        </w:rPr>
        <w:t xml:space="preserve"> mL</w:t>
      </w:r>
      <w:r>
        <w:rPr>
          <w:rFonts w:asciiTheme="minorHAnsi" w:hAnsiTheme="minorHAnsi" w:cstheme="minorHAnsi"/>
          <w:sz w:val="19"/>
          <w:szCs w:val="19"/>
        </w:rPr>
        <w:t xml:space="preserve">/min. The </w:t>
      </w:r>
      <w:r>
        <w:rPr>
          <w:rFonts w:asciiTheme="minorHAnsi" w:hAnsiTheme="minorHAnsi" w:cstheme="minorHAnsi"/>
          <w:sz w:val="19"/>
          <w:szCs w:val="19"/>
        </w:rPr>
        <w:t xml:space="preserve">Collison nebulizer </w:t>
      </w:r>
      <w:r>
        <w:rPr>
          <w:rFonts w:asciiTheme="minorHAnsi" w:hAnsiTheme="minorHAnsi" w:cstheme="minorHAnsi"/>
          <w:sz w:val="19"/>
          <w:szCs w:val="19"/>
        </w:rPr>
        <w:t xml:space="preserve">was </w:t>
      </w:r>
      <w:r>
        <w:rPr>
          <w:rFonts w:asciiTheme="minorHAnsi" w:hAnsiTheme="minorHAnsi" w:cstheme="minorHAnsi"/>
          <w:sz w:val="19"/>
          <w:szCs w:val="19"/>
        </w:rPr>
        <w:t>flow characterized using a calibrated TSI m</w:t>
      </w:r>
      <w:r>
        <w:rPr>
          <w:rFonts w:asciiTheme="minorHAnsi" w:hAnsiTheme="minorHAnsi" w:cstheme="minorHAnsi"/>
          <w:sz w:val="19"/>
          <w:szCs w:val="19"/>
        </w:rPr>
        <w:t xml:space="preserve">odel 4040 mass flow meter (TSI </w:t>
      </w:r>
      <w:r>
        <w:rPr>
          <w:rFonts w:asciiTheme="minorHAnsi" w:hAnsiTheme="minorHAnsi" w:cstheme="minorHAnsi"/>
          <w:sz w:val="19"/>
          <w:szCs w:val="19"/>
        </w:rPr>
        <w:t>Inc.</w:t>
      </w:r>
      <w:r>
        <w:rPr>
          <w:rFonts w:asciiTheme="minorHAnsi" w:hAnsiTheme="minorHAnsi" w:cstheme="minorHAnsi"/>
          <w:sz w:val="19"/>
          <w:szCs w:val="19"/>
        </w:rPr>
        <w:t>, St Paul MN).</w:t>
      </w:r>
    </w:p>
    <w:p>
      <w:pPr>
        <w:ind w:firstLine="360"/>
        <w:jc w:val="both"/>
        <w:rPr>
          <w:rFonts w:asciiTheme="minorHAnsi" w:hAnsiTheme="minorHAnsi" w:cstheme="minorHAnsi"/>
          <w:sz w:val="19"/>
          <w:szCs w:val="19"/>
        </w:rPr>
      </w:pPr>
    </w:p>
    <w:p>
      <w:pPr>
        <w:ind w:firstLine="360"/>
        <w:jc w:val="both"/>
        <w:rPr>
          <w:rFonts w:asciiTheme="minorHAnsi" w:hAnsiTheme="minorHAnsi" w:cstheme="minorHAnsi"/>
          <w:sz w:val="19"/>
          <w:szCs w:val="19"/>
        </w:rPr>
      </w:pPr>
    </w:p>
    <w:p>
      <w:pPr>
        <w:ind w:firstLine="360"/>
        <w:jc w:val="both"/>
        <w:rPr>
          <w:rFonts w:asciiTheme="minorHAnsi" w:hAnsiTheme="minorHAnsi" w:cstheme="minorHAnsi"/>
          <w:sz w:val="19"/>
          <w:szCs w:val="19"/>
        </w:rPr>
      </w:pPr>
    </w:p>
    <w:p>
      <w:pPr>
        <w:ind w:firstLine="360"/>
        <w:jc w:val="both"/>
        <w:rPr>
          <w:rFonts w:asciiTheme="minorHAnsi" w:hAnsiTheme="minorHAnsi" w:cstheme="minorHAnsi"/>
          <w:sz w:val="19"/>
          <w:szCs w:val="19"/>
        </w:rPr>
      </w:pPr>
    </w:p>
    <w:p>
      <w:pPr>
        <w:ind w:firstLine="360"/>
        <w:jc w:val="both"/>
        <w:rPr>
          <w:rFonts w:asciiTheme="minorHAnsi" w:hAnsiTheme="minorHAnsi" w:cstheme="minorHAnsi"/>
          <w:sz w:val="19"/>
          <w:szCs w:val="19"/>
        </w:rPr>
      </w:pPr>
    </w:p>
    <w:p>
      <w:pPr>
        <w:ind w:firstLine="360"/>
        <w:jc w:val="both"/>
        <w:rPr>
          <w:rFonts w:asciiTheme="minorHAnsi" w:hAnsiTheme="minorHAnsi" w:cstheme="minorHAnsi"/>
          <w:sz w:val="19"/>
          <w:szCs w:val="19"/>
        </w:rPr>
      </w:pPr>
    </w:p>
    <w:p>
      <w:pPr>
        <w:jc w:val="center"/>
        <w:tabs>
          <w:tab w:val="left" w:pos="3240"/>
        </w:tabs>
        <w:rPr>
          <w:rFonts w:asciiTheme="minorHAnsi" w:hAnsiTheme="minorHAnsi" w:cstheme="minorHAnsi"/>
          <w:sz w:val="20"/>
          <w:szCs w:val="20"/>
        </w:rPr>
      </w:pPr>
      <w:r>
        <w:rPr>
          <w:rFonts w:asciiTheme="minorHAnsi" w:hAnsiTheme="minorHAnsi" w:cstheme="minorHAnsi"/>
          <w:noProof/>
          <w:sz w:val="20"/>
          <w:szCs w:val="20"/>
        </w:rPr>
        <w:drawing>
          <wp:inline distT="0" distB="0" distL="0" distR="0">
            <wp:extent cx="914400" cy="1431897"/>
            <wp:effectExtent l="0" t="0" r="0" b="0"/>
            <wp:docPr id="1033" name="shape1033"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7">
                      <a:extLst>
                        <a:ext uri="{28A0092B-C50C-407E-A947-70E740481C1C}">
                          <a14:useLocalDpi xmlns:a14="http://schemas.microsoft.com/office/drawing/2010/main" val="0"/>
                        </a:ext>
                      </a:extLst>
                    </a:blip>
                    <a:srcRect t="6224" b="5297"/>
                    <a:stretch>
                      <a:fillRect/>
                    </a:stretch>
                  </pic:blipFill>
                  <pic:spPr>
                    <a:xfrm>
                      <a:off x="0" y="0"/>
                      <a:ext cx="914400" cy="1431897"/>
                    </a:xfrm>
                    <a:prstGeom prst="rect"/>
                    <a:noFill/>
                    <a:ln>
                      <a:noFill/>
                    </a:ln>
                  </pic:spPr>
                </pic:pic>
              </a:graphicData>
            </a:graphic>
          </wp:inline>
        </w:drawing>
      </w:r>
    </w:p>
    <w:p>
      <w:pPr>
        <w:jc w:val="center"/>
        <w:tabs>
          <w:tab w:val="left" w:pos="360"/>
          <w:tab w:val="left" w:pos="3240"/>
        </w:tabs>
        <w:rPr>
          <w:rFonts w:ascii="Garamond" w:hAnsi="Garamond" w:cstheme="minorHAnsi"/>
          <w:sz w:val="18"/>
          <w:szCs w:val="18"/>
        </w:rPr>
      </w:pPr>
      <w:r>
        <w:rPr>
          <w:rFonts w:ascii="Garamond" w:hAnsi="Garamond" w:cstheme="minorHAnsi"/>
          <w:b/>
          <w:color w:val="0070C0"/>
          <w:sz w:val="18"/>
          <w:szCs w:val="18"/>
        </w:rPr>
        <w:t xml:space="preserve">Figure </w:t>
      </w:r>
      <w:r>
        <w:rPr>
          <w:rFonts w:ascii="Garamond" w:hAnsi="Garamond" w:cstheme="minorHAnsi"/>
          <w:b/>
          <w:color w:val="0070C0"/>
          <w:sz w:val="18"/>
          <w:szCs w:val="18"/>
        </w:rPr>
        <w:t>4</w:t>
      </w:r>
      <w:r>
        <w:rPr>
          <w:rFonts w:ascii="Garamond" w:hAnsi="Garamond" w:cstheme="minorHAnsi"/>
          <w:sz w:val="18"/>
          <w:szCs w:val="18"/>
        </w:rPr>
        <w:t>. 6-Jet Collison nebulizer.  Glass and 304 stainless steel construction, BGI Industries.</w:t>
      </w:r>
    </w:p>
    <w:p>
      <w:pPr>
        <w:jc w:val="center"/>
        <w:tabs>
          <w:tab w:val="left" w:pos="360"/>
          <w:tab w:val="left" w:pos="3240"/>
        </w:tabs>
        <w:rPr>
          <w:rFonts w:ascii="Garamond" w:hAnsi="Garamond" w:cstheme="minorHAnsi"/>
          <w:sz w:val="18"/>
          <w:szCs w:val="18"/>
        </w:rPr>
      </w:pPr>
    </w:p>
    <w:p>
      <w:pPr>
        <w:jc w:val="center"/>
        <w:tabs>
          <w:tab w:val="left" w:pos="360"/>
          <w:tab w:val="left" w:pos="3240"/>
        </w:tabs>
        <w:rPr>
          <w:rFonts w:ascii="Garamond" w:hAnsi="Garamond" w:cstheme="minorHAnsi"/>
          <w:sz w:val="18"/>
          <w:szCs w:val="18"/>
        </w:rPr>
      </w:pPr>
    </w:p>
    <w:p>
      <w:pPr>
        <w:rPr>
          <w:rFonts w:asciiTheme="minorHAnsi" w:hAnsiTheme="minorHAnsi" w:cstheme="minorHAnsi"/>
          <w:b/>
          <w:sz w:val="20"/>
          <w:szCs w:val="20"/>
        </w:rPr>
      </w:pPr>
      <w:r>
        <w:rPr>
          <w:rFonts w:asciiTheme="minorHAnsi" w:hAnsiTheme="minorHAnsi" w:cstheme="minorHAnsi"/>
          <w:b/>
          <w:sz w:val="20"/>
          <w:szCs w:val="20"/>
        </w:rPr>
        <w:t>Bioaerosol Sampling and Monitoring System</w:t>
      </w:r>
    </w:p>
    <w:p>
      <w:pPr>
        <w:rPr>
          <w:rFonts w:asciiTheme="minorHAnsi" w:hAnsiTheme="minorHAnsi" w:cstheme="minorHAnsi"/>
          <w:i/>
          <w:sz w:val="20"/>
          <w:szCs w:val="20"/>
        </w:rPr>
      </w:pPr>
    </w:p>
    <w:p>
      <w:pPr>
        <w:ind w:firstLine="360"/>
        <w:jc w:val="both"/>
        <w:rPr>
          <w:rFonts w:asciiTheme="minorHAnsi" w:hAnsiTheme="minorHAnsi" w:cstheme="minorHAnsi"/>
          <w:noProof/>
          <w:color w:val="C00000"/>
          <w:sz w:val="19"/>
          <w:szCs w:val="19"/>
        </w:rPr>
      </w:pPr>
      <w:r>
        <w:rPr>
          <w:rFonts w:asciiTheme="minorHAnsi" w:hAnsiTheme="minorHAnsi" w:cstheme="minorHAnsi"/>
          <w:sz w:val="19"/>
          <w:szCs w:val="19"/>
        </w:rPr>
        <w:t>Two AGI</w:t>
      </w:r>
      <w:r>
        <w:rPr>
          <w:rFonts w:asciiTheme="minorHAnsi" w:hAnsiTheme="minorHAnsi" w:cstheme="minorHAnsi"/>
          <w:sz w:val="19"/>
          <w:szCs w:val="19"/>
        </w:rPr>
        <w:t>-30</w:t>
      </w:r>
      <w:r>
        <w:rPr>
          <w:rFonts w:asciiTheme="minorHAnsi" w:hAnsiTheme="minorHAnsi" w:cstheme="minorHAnsi"/>
          <w:sz w:val="19"/>
          <w:szCs w:val="19"/>
        </w:rPr>
        <w:t xml:space="preserve"> impingers (Ace Glass Inc. Vineland NJ) were used for bioaerosol collection to determine chamb</w:t>
      </w:r>
      <w:r>
        <w:rPr>
          <w:rFonts w:asciiTheme="minorHAnsi" w:hAnsiTheme="minorHAnsi" w:cstheme="minorHAnsi"/>
          <w:sz w:val="19"/>
          <w:szCs w:val="19"/>
        </w:rPr>
        <w:t>er concentration</w:t>
      </w:r>
      <w:r>
        <w:rPr>
          <w:rFonts w:asciiTheme="minorHAnsi" w:hAnsiTheme="minorHAnsi" w:cstheme="minorHAnsi"/>
          <w:sz w:val="19"/>
          <w:szCs w:val="19"/>
        </w:rPr>
        <w:t>s</w:t>
      </w:r>
      <w:r>
        <w:rPr>
          <w:rFonts w:asciiTheme="minorHAnsi" w:hAnsiTheme="minorHAnsi" w:cstheme="minorHAnsi"/>
          <w:sz w:val="19"/>
          <w:szCs w:val="19"/>
        </w:rPr>
        <w:t xml:space="preserve">. The </w:t>
      </w:r>
      <w:r>
        <w:rPr>
          <w:rFonts w:asciiTheme="minorHAnsi" w:hAnsiTheme="minorHAnsi" w:cstheme="minorHAnsi"/>
          <w:sz w:val="19"/>
          <w:szCs w:val="19"/>
        </w:rPr>
        <w:t>two</w:t>
      </w:r>
      <w:r>
        <w:rPr>
          <w:rFonts w:asciiTheme="minorHAnsi" w:hAnsiTheme="minorHAnsi" w:cstheme="minorHAnsi"/>
          <w:sz w:val="19"/>
          <w:szCs w:val="19"/>
        </w:rPr>
        <w:t xml:space="preserve"> AGI</w:t>
      </w:r>
      <w:r>
        <w:rPr>
          <w:rFonts w:asciiTheme="minorHAnsi" w:hAnsiTheme="minorHAnsi" w:cstheme="minorHAnsi"/>
          <w:sz w:val="19"/>
          <w:szCs w:val="19"/>
        </w:rPr>
        <w:t>-30</w:t>
      </w:r>
      <w:r>
        <w:rPr>
          <w:rFonts w:asciiTheme="minorHAnsi" w:hAnsiTheme="minorHAnsi" w:cstheme="minorHAnsi"/>
          <w:sz w:val="19"/>
          <w:szCs w:val="19"/>
        </w:rPr>
        <w:t xml:space="preserve"> Impinger</w:t>
      </w:r>
      <w:r>
        <w:rPr>
          <w:rFonts w:asciiTheme="minorHAnsi" w:hAnsiTheme="minorHAnsi" w:cstheme="minorHAnsi"/>
          <w:sz w:val="19"/>
          <w:szCs w:val="19"/>
        </w:rPr>
        <w:t>s</w:t>
      </w:r>
      <w:r>
        <w:rPr>
          <w:rFonts w:asciiTheme="minorHAnsi" w:hAnsiTheme="minorHAnsi" w:cstheme="minorHAnsi"/>
          <w:sz w:val="19"/>
          <w:szCs w:val="19"/>
        </w:rPr>
        <w:t xml:space="preserve"> w</w:t>
      </w:r>
      <w:r>
        <w:rPr>
          <w:rFonts w:asciiTheme="minorHAnsi" w:hAnsiTheme="minorHAnsi" w:cstheme="minorHAnsi"/>
          <w:sz w:val="19"/>
          <w:szCs w:val="19"/>
        </w:rPr>
        <w:t>ere</w:t>
      </w:r>
      <w:r>
        <w:rPr>
          <w:rFonts w:asciiTheme="minorHAnsi" w:hAnsiTheme="minorHAnsi" w:cstheme="minorHAnsi"/>
          <w:sz w:val="19"/>
          <w:szCs w:val="19"/>
        </w:rPr>
        <w:t xml:space="preserve"> placed at</w:t>
      </w:r>
      <w:r>
        <w:rPr>
          <w:rFonts w:asciiTheme="minorHAnsi" w:hAnsiTheme="minorHAnsi" w:cstheme="minorHAnsi"/>
          <w:sz w:val="19"/>
          <w:szCs w:val="19"/>
        </w:rPr>
        <w:t xml:space="preserve"> opposite corners of the chamber in order to represent an entire room sample. The mixing fans inside the chamber worked to ensure a homogenous air mixture inside the chamber.</w:t>
      </w:r>
    </w:p>
    <w:p>
      <w:pPr>
        <w:jc w:val="center"/>
        <w:rPr>
          <w:rFonts w:asciiTheme="minorHAnsi" w:hAnsiTheme="minorHAnsi" w:cstheme="minorHAnsi"/>
          <w:noProof/>
          <w:color w:val="C00000"/>
          <w:sz w:val="20"/>
          <w:szCs w:val="20"/>
        </w:rPr>
      </w:pPr>
    </w:p>
    <w:p>
      <w:pPr>
        <w:jc w:val="center"/>
        <w:rPr>
          <w:rFonts w:asciiTheme="minorHAnsi" w:hAnsiTheme="minorHAnsi" w:cstheme="minorHAnsi"/>
          <w:noProof/>
          <w:color w:val="C00000"/>
          <w:sz w:val="20"/>
          <w:szCs w:val="20"/>
        </w:rPr>
      </w:pPr>
      <w:r>
        <w:rPr>
          <w:rFonts w:asciiTheme="minorHAnsi" w:hAnsiTheme="minorHAnsi" w:cstheme="minorHAnsi"/>
          <w:noProof/>
          <w:color w:val="C00000"/>
          <w:sz w:val="20"/>
          <w:szCs w:val="20"/>
        </w:rPr>
        <w:drawing>
          <wp:inline distT="0" distB="0" distL="0" distR="0">
            <wp:extent cx="924498" cy="731520"/>
            <wp:effectExtent l="0" t="0" r="0" b="0"/>
            <wp:docPr id="1034" name="shape1034"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8">
                      <a:grayscl/>
                      <a:extLst>
                        <a:ext uri="{28A0092B-C50C-407E-A947-70E740481C1C}">
                          <a14:useLocalDpi xmlns:a14="http://schemas.microsoft.com/office/drawing/2010/main" val="0"/>
                        </a:ext>
                      </a:extLst>
                    </a:blip>
                    <a:srcRect t="9773" b="8627"/>
                    <a:stretch>
                      <a:fillRect/>
                    </a:stretch>
                  </pic:blipFill>
                  <pic:spPr>
                    <a:xfrm>
                      <a:off x="0" y="0"/>
                      <a:ext cx="924498" cy="731520"/>
                    </a:xfrm>
                    <a:prstGeom prst="rect"/>
                    <a:noFill/>
                    <a:ln>
                      <a:noFill/>
                    </a:ln>
                  </pic:spPr>
                </pic:pic>
              </a:graphicData>
            </a:graphic>
          </wp:inline>
        </w:drawing>
      </w:r>
    </w:p>
    <w:p>
      <w:pPr>
        <w:jc w:val="both"/>
        <w:rPr>
          <w:rFonts w:asciiTheme="minorHAnsi" w:hAnsiTheme="minorHAnsi" w:cstheme="minorHAnsi"/>
          <w:sz w:val="20"/>
          <w:szCs w:val="20"/>
        </w:rPr>
      </w:pPr>
      <w:r>
        <w:rPr>
          <w:rFonts w:ascii="Garamond" w:hAnsi="Garamond" w:cstheme="minorHAnsi"/>
          <w:b/>
          <w:bCs/>
          <w:iCs/>
          <w:color w:val="0070C0"/>
          <w:sz w:val="18"/>
          <w:szCs w:val="20"/>
        </w:rPr>
        <w:t xml:space="preserve">Figure </w:t>
      </w:r>
      <w:r>
        <w:rPr>
          <w:rFonts w:ascii="Garamond" w:hAnsi="Garamond" w:cstheme="minorHAnsi"/>
          <w:b/>
          <w:bCs/>
          <w:iCs/>
          <w:color w:val="0070C0"/>
          <w:sz w:val="18"/>
          <w:szCs w:val="20"/>
        </w:rPr>
        <w:t>5</w:t>
      </w:r>
      <w:r>
        <w:rPr>
          <w:rFonts w:ascii="Garamond" w:hAnsi="Garamond" w:cstheme="minorHAnsi"/>
          <w:b/>
          <w:bCs/>
          <w:iCs/>
          <w:color w:val="0070C0"/>
          <w:sz w:val="18"/>
          <w:szCs w:val="20"/>
        </w:rPr>
        <w:t>:</w:t>
      </w:r>
      <w:r>
        <w:rPr>
          <w:rFonts w:ascii="Garamond" w:hAnsi="Garamond" w:cstheme="minorHAnsi"/>
          <w:color w:val="0070C0"/>
          <w:sz w:val="18"/>
          <w:szCs w:val="20"/>
        </w:rPr>
        <w:t xml:space="preserve"> </w:t>
      </w:r>
      <w:r>
        <w:rPr>
          <w:rFonts w:ascii="Garamond" w:hAnsi="Garamond" w:cstheme="minorHAnsi"/>
          <w:sz w:val="18"/>
          <w:szCs w:val="20"/>
        </w:rPr>
        <w:t xml:space="preserve">SKC </w:t>
      </w:r>
      <w:r>
        <w:rPr>
          <w:rFonts w:ascii="Garamond" w:hAnsi="Garamond" w:cstheme="minorHAnsi"/>
          <w:sz w:val="18"/>
          <w:szCs w:val="20"/>
        </w:rPr>
        <w:t xml:space="preserve">Single Stage </w:t>
      </w:r>
      <w:r>
        <w:rPr>
          <w:rFonts w:ascii="Garamond" w:hAnsi="Garamond" w:cstheme="minorHAnsi"/>
          <w:sz w:val="18"/>
          <w:szCs w:val="20"/>
        </w:rPr>
        <w:t>BioStage Viable Cascade Impactor</w:t>
      </w:r>
      <w:r>
        <w:rPr>
          <w:rFonts w:ascii="Garamond" w:hAnsi="Garamond" w:cstheme="minorHAnsi"/>
          <w:sz w:val="18"/>
          <w:szCs w:val="20"/>
        </w:rPr>
        <w:t xml:space="preserve"> used for bacterial and spore sampling </w:t>
      </w:r>
      <w:r>
        <w:rPr>
          <w:rFonts w:ascii="Garamond" w:hAnsi="Garamond" w:cstheme="minorHAnsi"/>
          <w:sz w:val="18"/>
          <w:szCs w:val="20"/>
        </w:rPr>
        <w:t>for</w:t>
      </w:r>
      <w:r>
        <w:rPr>
          <w:rFonts w:ascii="Garamond" w:hAnsi="Garamond" w:cstheme="minorHAnsi"/>
          <w:sz w:val="18"/>
          <w:szCs w:val="20"/>
        </w:rPr>
        <w:t xml:space="preserve"> select time points during bioaerosol trials.  LOD is &gt;0.01 cfu/L.</w:t>
      </w:r>
    </w:p>
    <w:p>
      <w:pPr>
        <w:ind w:firstLine="360"/>
        <w:jc w:val="both"/>
        <w:rPr>
          <w:rFonts w:asciiTheme="minorHAnsi" w:hAnsiTheme="minorHAnsi" w:cstheme="minorHAnsi"/>
          <w:sz w:val="20"/>
          <w:szCs w:val="20"/>
        </w:rPr>
      </w:pPr>
    </w:p>
    <w:p>
      <w:pPr>
        <w:ind w:firstLine="360"/>
        <w:jc w:val="both"/>
        <w:tabs>
          <w:tab w:val="left" w:pos="3240"/>
        </w:tabs>
        <w:rPr>
          <w:rFonts w:asciiTheme="minorHAnsi" w:hAnsiTheme="minorHAnsi" w:cstheme="minorHAnsi"/>
          <w:sz w:val="19"/>
          <w:szCs w:val="19"/>
        </w:rPr>
      </w:pPr>
      <w:r>
        <w:rPr>
          <w:rFonts w:asciiTheme="minorHAnsi" w:hAnsiTheme="minorHAnsi" w:cstheme="minorHAnsi"/>
          <w:sz w:val="19"/>
          <w:szCs w:val="19"/>
        </w:rPr>
        <w:t xml:space="preserve">The AGI-30 impinger vacuum source was maintained at a negative pressure of 18 inches of Hg during all characterization and test sampling to assure critical flow conditions. The AGI-30 </w:t>
      </w:r>
      <w:r>
        <w:rPr>
          <w:rFonts w:asciiTheme="minorHAnsi" w:hAnsiTheme="minorHAnsi" w:cstheme="minorHAnsi"/>
          <w:sz w:val="19"/>
          <w:szCs w:val="19"/>
        </w:rPr>
        <w:t xml:space="preserve">impingers </w:t>
      </w:r>
      <w:r>
        <w:rPr>
          <w:rFonts w:asciiTheme="minorHAnsi" w:hAnsiTheme="minorHAnsi" w:cstheme="minorHAnsi"/>
          <w:sz w:val="19"/>
          <w:szCs w:val="19"/>
        </w:rPr>
        <w:t>sample</w:t>
      </w:r>
      <w:r>
        <w:rPr>
          <w:rFonts w:asciiTheme="minorHAnsi" w:hAnsiTheme="minorHAnsi" w:cstheme="minorHAnsi"/>
          <w:sz w:val="19"/>
          <w:szCs w:val="19"/>
        </w:rPr>
        <w:t xml:space="preserve"> at a rate of 12.5 LPM</w:t>
      </w:r>
      <w:r>
        <w:rPr>
          <w:rFonts w:asciiTheme="minorHAnsi" w:hAnsiTheme="minorHAnsi" w:cstheme="minorHAnsi"/>
          <w:sz w:val="19"/>
          <w:szCs w:val="19"/>
        </w:rPr>
        <w:t xml:space="preserve"> impinger </w:t>
      </w:r>
      <w:r>
        <w:rPr>
          <w:rFonts w:asciiTheme="minorHAnsi" w:hAnsiTheme="minorHAnsi" w:cstheme="minorHAnsi"/>
          <w:sz w:val="19"/>
          <w:szCs w:val="19"/>
        </w:rPr>
        <w:t xml:space="preserve">flows </w:t>
      </w:r>
      <w:r>
        <w:rPr>
          <w:rFonts w:asciiTheme="minorHAnsi" w:hAnsiTheme="minorHAnsi" w:cstheme="minorHAnsi"/>
          <w:sz w:val="19"/>
          <w:szCs w:val="19"/>
        </w:rPr>
        <w:t>were characterized using a calibrated TSI model 4040 mass flow meter.</w:t>
      </w:r>
      <w:r>
        <w:rPr>
          <w:rFonts w:asciiTheme="minorHAnsi" w:hAnsiTheme="minorHAnsi" w:cstheme="minorHAnsi"/>
          <w:sz w:val="19"/>
          <w:szCs w:val="19"/>
        </w:rPr>
        <w:t xml:space="preserve"> A general flow diagram of the aerosol test system is shown above in </w:t>
      </w:r>
      <w:r>
        <w:rPr>
          <w:rFonts w:asciiTheme="minorHAnsi" w:hAnsiTheme="minorHAnsi" w:cstheme="minorHAnsi"/>
          <w:b/>
          <w:color w:val="0070C0"/>
          <w:sz w:val="19"/>
          <w:szCs w:val="19"/>
        </w:rPr>
        <w:t>Figure 3</w:t>
      </w:r>
      <w:r>
        <w:rPr>
          <w:rFonts w:asciiTheme="minorHAnsi" w:hAnsiTheme="minorHAnsi" w:cstheme="minorHAnsi"/>
          <w:sz w:val="19"/>
          <w:szCs w:val="19"/>
        </w:rPr>
        <w:t>.</w:t>
      </w:r>
    </w:p>
    <w:p>
      <w:pPr>
        <w:ind w:firstLine="360"/>
        <w:jc w:val="both"/>
        <w:tabs>
          <w:tab w:val="left" w:pos="3240"/>
        </w:tabs>
        <w:rPr>
          <w:rFonts w:asciiTheme="minorHAnsi" w:hAnsiTheme="minorHAnsi" w:cstheme="minorHAnsi"/>
          <w:sz w:val="19"/>
          <w:szCs w:val="19"/>
        </w:rPr>
      </w:pPr>
    </w:p>
    <w:p>
      <w:pPr>
        <w:jc w:val="both"/>
        <w:tabs>
          <w:tab w:val="left" w:pos="360"/>
          <w:tab w:val="left" w:pos="3240"/>
        </w:tabs>
        <w:rPr>
          <w:rFonts w:asciiTheme="minorHAnsi" w:hAnsiTheme="minorHAnsi" w:cstheme="minorHAnsi"/>
          <w:sz w:val="20"/>
          <w:szCs w:val="20"/>
        </w:rPr>
      </w:pPr>
      <w:r>
        <w:rPr>
          <w:rFonts w:asciiTheme="minorHAnsi" w:hAnsiTheme="minorHAnsi" w:cstheme="minorHAnsi"/>
          <w:sz w:val="19"/>
          <w:szCs w:val="19"/>
        </w:rPr>
        <w:tab/>
      </w:r>
      <w:r>
        <w:rPr>
          <w:rFonts w:asciiTheme="minorHAnsi" w:hAnsiTheme="minorHAnsi" w:cstheme="minorHAnsi"/>
          <w:sz w:val="19"/>
          <w:szCs w:val="19"/>
        </w:rPr>
        <w:t xml:space="preserve">During testing with </w:t>
      </w:r>
      <w:r>
        <w:rPr>
          <w:rFonts w:asciiTheme="minorHAnsi" w:hAnsiTheme="minorHAnsi" w:cstheme="minorHAnsi"/>
          <w:sz w:val="19"/>
          <w:szCs w:val="19"/>
        </w:rPr>
        <w:t>less resilient organisms</w:t>
      </w:r>
      <w:r>
        <w:rPr>
          <w:rFonts w:asciiTheme="minorHAnsi" w:hAnsiTheme="minorHAnsi" w:cstheme="minorHAnsi"/>
          <w:sz w:val="19"/>
          <w:szCs w:val="19"/>
        </w:rPr>
        <w:t>,</w:t>
      </w:r>
      <w:r>
        <w:rPr>
          <w:rFonts w:asciiTheme="minorHAnsi" w:hAnsiTheme="minorHAnsi" w:cstheme="minorHAnsi"/>
          <w:sz w:val="19"/>
          <w:szCs w:val="19"/>
        </w:rPr>
        <w:t xml:space="preserve"> or those which fall out of the air more easily</w:t>
      </w:r>
      <w:r>
        <w:rPr>
          <w:rFonts w:asciiTheme="minorHAnsi" w:hAnsiTheme="minorHAnsi" w:cstheme="minorHAnsi"/>
          <w:sz w:val="19"/>
          <w:szCs w:val="19"/>
        </w:rPr>
        <w:t>, sample collections were also obtained using a pair of viable cascade impactors. A viable cascade impactor (SKC Inc., Valley View,</w:t>
      </w:r>
      <w:r>
        <w:rPr>
          <w:rFonts w:asciiTheme="minorHAnsi" w:hAnsiTheme="minorHAnsi" w:cstheme="minorHAnsi"/>
          <w:sz w:val="19"/>
          <w:szCs w:val="19"/>
        </w:rPr>
        <w:t xml:space="preserve"> </w:t>
      </w:r>
      <w:r>
        <w:rPr>
          <w:rFonts w:asciiTheme="minorHAnsi" w:hAnsiTheme="minorHAnsi" w:cstheme="minorHAnsi"/>
          <w:sz w:val="19"/>
          <w:szCs w:val="19"/>
        </w:rPr>
        <w:t xml:space="preserve">PA) </w:t>
      </w:r>
      <w:r>
        <w:rPr>
          <w:rFonts w:asciiTheme="minorHAnsi" w:hAnsiTheme="minorHAnsi" w:cstheme="minorHAnsi"/>
          <w:sz w:val="19"/>
          <w:szCs w:val="19"/>
        </w:rPr>
        <w:t xml:space="preserve">is </w:t>
      </w:r>
      <w:r>
        <w:rPr>
          <w:rFonts w:asciiTheme="minorHAnsi" w:hAnsiTheme="minorHAnsi" w:cstheme="minorHAnsi"/>
          <w:sz w:val="19"/>
          <w:szCs w:val="19"/>
        </w:rPr>
        <w:t>comprise</w:t>
      </w:r>
      <w:r>
        <w:rPr>
          <w:rFonts w:asciiTheme="minorHAnsi" w:hAnsiTheme="minorHAnsi" w:cstheme="minorHAnsi"/>
          <w:sz w:val="19"/>
          <w:szCs w:val="19"/>
        </w:rPr>
        <w:t>d of</w:t>
      </w:r>
      <w:r>
        <w:rPr>
          <w:rFonts w:asciiTheme="minorHAnsi" w:hAnsiTheme="minorHAnsi" w:cstheme="minorHAnsi"/>
          <w:sz w:val="19"/>
          <w:szCs w:val="19"/>
        </w:rPr>
        <w:t xml:space="preserve"> an inlet cone, </w:t>
      </w:r>
      <w:r>
        <w:rPr>
          <w:rFonts w:asciiTheme="minorHAnsi" w:hAnsiTheme="minorHAnsi" w:cstheme="minorHAnsi"/>
          <w:sz w:val="19"/>
          <w:szCs w:val="19"/>
        </w:rPr>
        <w:t xml:space="preserve">a </w:t>
      </w:r>
      <w:r>
        <w:rPr>
          <w:rFonts w:asciiTheme="minorHAnsi" w:hAnsiTheme="minorHAnsi" w:cstheme="minorHAnsi"/>
          <w:sz w:val="19"/>
          <w:szCs w:val="19"/>
        </w:rPr>
        <w:t>precision-drilled 400-hole impactor stage, and a base that holds a standard-size agar plate (</w:t>
      </w:r>
      <w:r>
        <w:rPr>
          <w:rFonts w:asciiTheme="minorHAnsi" w:hAnsiTheme="minorHAnsi" w:cstheme="minorHAnsi"/>
          <w:b/>
          <w:color w:val="0070C0"/>
          <w:sz w:val="19"/>
          <w:szCs w:val="19"/>
        </w:rPr>
        <w:t>Figure</w:t>
      </w:r>
      <w:r>
        <w:rPr>
          <w:rFonts w:asciiTheme="minorHAnsi" w:hAnsiTheme="minorHAnsi" w:cstheme="minorHAnsi"/>
          <w:b/>
          <w:color w:val="0070C0"/>
          <w:sz w:val="19"/>
          <w:szCs w:val="19"/>
        </w:rPr>
        <w:t xml:space="preserve"> </w:t>
      </w:r>
      <w:r>
        <w:rPr>
          <w:rFonts w:asciiTheme="minorHAnsi" w:hAnsiTheme="minorHAnsi" w:cstheme="minorHAnsi"/>
          <w:b/>
          <w:color w:val="0070C0"/>
          <w:sz w:val="19"/>
          <w:szCs w:val="19"/>
        </w:rPr>
        <w:t>5</w:t>
      </w:r>
      <w:r>
        <w:rPr>
          <w:rFonts w:asciiTheme="minorHAnsi" w:hAnsiTheme="minorHAnsi" w:cstheme="minorHAnsi"/>
          <w:sz w:val="19"/>
          <w:szCs w:val="19"/>
        </w:rPr>
        <w:t xml:space="preserve">). A high flow pump pulls microorganisms in </w:t>
      </w:r>
      <w:r>
        <w:rPr>
          <w:rFonts w:asciiTheme="minorHAnsi" w:hAnsiTheme="minorHAnsi" w:cstheme="minorHAnsi"/>
          <w:sz w:val="19"/>
          <w:szCs w:val="19"/>
        </w:rPr>
        <w:t xml:space="preserve">the </w:t>
      </w:r>
      <w:r>
        <w:rPr>
          <w:rFonts w:asciiTheme="minorHAnsi" w:hAnsiTheme="minorHAnsi" w:cstheme="minorHAnsi"/>
          <w:sz w:val="19"/>
          <w:szCs w:val="19"/>
        </w:rPr>
        <w:t>air through the holes (jets)</w:t>
      </w:r>
      <w:r>
        <w:rPr>
          <w:rFonts w:asciiTheme="minorHAnsi" w:hAnsiTheme="minorHAnsi" w:cstheme="minorHAnsi"/>
          <w:sz w:val="19"/>
          <w:szCs w:val="19"/>
        </w:rPr>
        <w:t xml:space="preserve"> at 30 liters per minute,</w:t>
      </w:r>
      <w:r>
        <w:rPr>
          <w:rFonts w:asciiTheme="minorHAnsi" w:hAnsiTheme="minorHAnsi" w:cstheme="minorHAnsi"/>
          <w:sz w:val="19"/>
          <w:szCs w:val="19"/>
        </w:rPr>
        <w:t xml:space="preserve"> where they are collected directly on</w:t>
      </w:r>
      <w:r>
        <w:rPr>
          <w:rFonts w:asciiTheme="minorHAnsi" w:hAnsiTheme="minorHAnsi" w:cstheme="minorHAnsi"/>
          <w:sz w:val="19"/>
          <w:szCs w:val="19"/>
        </w:rPr>
        <w:t>to</w:t>
      </w:r>
      <w:r>
        <w:rPr>
          <w:rFonts w:asciiTheme="minorHAnsi" w:hAnsiTheme="minorHAnsi" w:cstheme="minorHAnsi"/>
          <w:sz w:val="19"/>
          <w:szCs w:val="19"/>
        </w:rPr>
        <w:t xml:space="preserve"> the agar surface. This method is the most sensitive for </w:t>
      </w:r>
      <w:r>
        <w:rPr>
          <w:rFonts w:asciiTheme="minorHAnsi" w:hAnsiTheme="minorHAnsi" w:cstheme="minorHAnsi"/>
          <w:sz w:val="19"/>
          <w:szCs w:val="19"/>
        </w:rPr>
        <w:t xml:space="preserve">the </w:t>
      </w:r>
      <w:r>
        <w:rPr>
          <w:rFonts w:asciiTheme="minorHAnsi" w:hAnsiTheme="minorHAnsi" w:cstheme="minorHAnsi"/>
          <w:sz w:val="19"/>
          <w:szCs w:val="19"/>
        </w:rPr>
        <w:t>detection of organisms at low concentrations.</w:t>
      </w:r>
    </w:p>
    <w:p>
      <w:pPr>
        <w:jc w:val="both"/>
        <w:tabs>
          <w:tab w:val="left" w:pos="360"/>
          <w:tab w:val="left" w:pos="3240"/>
        </w:tabs>
        <w:rPr>
          <w:rFonts w:asciiTheme="minorHAnsi" w:hAnsiTheme="minorHAnsi" w:cstheme="minorHAnsi"/>
          <w:sz w:val="20"/>
          <w:szCs w:val="20"/>
        </w:rPr>
      </w:pPr>
      <w:r>
        <w:rPr>
          <w:rStyle w:val="CommentReference"/>
        </w:rPr>
        <w:commentReference w:id="1"/>
      </w:r>
    </w:p>
    <w:p>
      <w:pPr>
        <w:jc w:val="both"/>
        <w:tabs>
          <w:tab w:val="left" w:pos="360"/>
          <w:tab w:val="left" w:pos="3240"/>
        </w:tabs>
        <w:rPr>
          <w:rFonts w:asciiTheme="minorHAnsi" w:hAnsiTheme="minorHAnsi" w:cstheme="minorHAnsi"/>
          <w:b/>
          <w:sz w:val="20"/>
          <w:szCs w:val="20"/>
        </w:rPr>
      </w:pPr>
      <w:r>
        <w:rPr>
          <w:rFonts w:asciiTheme="minorHAnsi" w:hAnsiTheme="minorHAnsi" w:cstheme="minorHAnsi"/>
          <w:b/>
          <w:sz w:val="20"/>
          <w:szCs w:val="20"/>
        </w:rPr>
        <w:t>TSI Aerodynamic Particle Sizer</w:t>
      </w:r>
    </w:p>
    <w:p>
      <w:pPr>
        <w:jc w:val="both"/>
        <w:tabs>
          <w:tab w:val="left" w:pos="360"/>
          <w:tab w:val="left" w:pos="3240"/>
        </w:tabs>
        <w:rPr>
          <w:rFonts w:asciiTheme="minorHAnsi" w:hAnsiTheme="minorHAnsi" w:cstheme="minorHAnsi"/>
          <w:b/>
          <w:sz w:val="20"/>
          <w:szCs w:val="20"/>
        </w:rPr>
      </w:pPr>
    </w:p>
    <w:p>
      <w:pPr>
        <w:ind w:firstLine="360"/>
        <w:jc w:val="both"/>
        <w:tabs>
          <w:tab w:val="left" w:pos="360"/>
          <w:tab w:val="left" w:pos="3240"/>
        </w:tabs>
        <w:rPr>
          <w:rFonts w:asciiTheme="minorHAnsi" w:hAnsiTheme="minorHAnsi" w:cstheme="minorHAnsi"/>
          <w:sz w:val="20"/>
          <w:szCs w:val="20"/>
        </w:rPr>
      </w:pPr>
      <w:r>
        <w:rPr>
          <w:rFonts w:asciiTheme="minorHAnsi" w:hAnsiTheme="minorHAnsi" w:cstheme="minorHAnsi"/>
          <w:sz w:val="20"/>
          <w:szCs w:val="20"/>
        </w:rPr>
        <w:t xml:space="preserve">A TSI </w:t>
      </w:r>
      <w:r>
        <w:rPr>
          <w:rFonts w:asciiTheme="minorHAnsi" w:hAnsiTheme="minorHAnsi" w:cstheme="minorHAnsi"/>
          <w:sz w:val="20"/>
          <w:szCs w:val="20"/>
        </w:rPr>
        <w:t xml:space="preserve">model 3321 </w:t>
      </w:r>
      <w:r>
        <w:rPr>
          <w:rFonts w:asciiTheme="minorHAnsi" w:hAnsiTheme="minorHAnsi" w:cstheme="minorHAnsi"/>
          <w:sz w:val="20"/>
          <w:szCs w:val="20"/>
        </w:rPr>
        <w:t xml:space="preserve">Aerodynamic Particle Sizer (APS) (TSI Inc., Shoreview, MN) was used to measure aerosol concentrations and particle size during </w:t>
      </w:r>
      <w:r>
        <w:rPr>
          <w:rFonts w:asciiTheme="minorHAnsi" w:hAnsiTheme="minorHAnsi" w:cstheme="minorHAnsi"/>
          <w:sz w:val="20"/>
          <w:szCs w:val="20"/>
        </w:rPr>
        <w:t xml:space="preserve">the test </w:t>
      </w:r>
      <w:r>
        <w:rPr>
          <w:rFonts w:asciiTheme="minorHAnsi" w:hAnsiTheme="minorHAnsi" w:cstheme="minorHAnsi"/>
          <w:sz w:val="20"/>
          <w:szCs w:val="20"/>
        </w:rPr>
        <w:t xml:space="preserve">trials. The APS provided real-time aerodynamic particle characterization with a size range from 0.54-20.0 µm with 52 size bins of resolution.  Sampling is continuous with a data export interval of 1 second. The APS has a continuous flow rate of 5 liters per minute (LPM). A picture of the APS is shown in </w:t>
      </w:r>
      <w:r>
        <w:rPr>
          <w:rFonts w:asciiTheme="minorHAnsi" w:hAnsiTheme="minorHAnsi" w:cstheme="minorHAnsi"/>
          <w:b/>
          <w:color w:val="0070C0"/>
          <w:sz w:val="20"/>
          <w:szCs w:val="20"/>
        </w:rPr>
        <w:t xml:space="preserve">Figure </w:t>
      </w:r>
      <w:r>
        <w:rPr>
          <w:rFonts w:asciiTheme="minorHAnsi" w:hAnsiTheme="minorHAnsi" w:cstheme="minorHAnsi"/>
          <w:b/>
          <w:color w:val="0070C0"/>
          <w:sz w:val="20"/>
          <w:szCs w:val="20"/>
        </w:rPr>
        <w:t>6</w:t>
      </w:r>
      <w:r>
        <w:rPr>
          <w:rFonts w:asciiTheme="minorHAnsi" w:hAnsiTheme="minorHAnsi" w:cstheme="minorHAnsi"/>
          <w:sz w:val="20"/>
          <w:szCs w:val="20"/>
        </w:rPr>
        <w:t>.</w:t>
      </w:r>
    </w:p>
    <w:p>
      <w:pPr>
        <w:ind w:firstLine="360"/>
        <w:jc w:val="both"/>
        <w:tabs>
          <w:tab w:val="left" w:pos="360"/>
          <w:tab w:val="left" w:pos="3240"/>
        </w:tabs>
        <w:rPr>
          <w:rFonts w:asciiTheme="minorHAnsi" w:hAnsiTheme="minorHAnsi" w:cstheme="minorHAnsi"/>
          <w:sz w:val="20"/>
          <w:szCs w:val="20"/>
        </w:rPr>
      </w:pPr>
    </w:p>
    <w:p>
      <w:pPr>
        <w:jc w:val="both"/>
        <w:tabs>
          <w:tab w:val="left" w:pos="3240"/>
        </w:tabs>
        <w:rPr>
          <w:rFonts w:asciiTheme="minorHAnsi" w:hAnsiTheme="minorHAnsi" w:cstheme="minorHAnsi"/>
          <w:b/>
          <w:sz w:val="20"/>
          <w:szCs w:val="19"/>
        </w:rPr>
      </w:pPr>
      <w:r>
        <w:rPr>
          <w:rFonts w:asciiTheme="minorHAnsi" w:hAnsiTheme="minorHAnsi" w:cstheme="minorHAnsi"/>
          <w:b/>
          <w:sz w:val="20"/>
          <w:szCs w:val="19"/>
        </w:rPr>
        <w:t>Species Selection</w:t>
      </w:r>
    </w:p>
    <w:p>
      <w:pPr>
        <w:pStyle w:val="NormalWeb"/>
        <w:ind w:firstLine="360"/>
        <w:jc w:val="both"/>
        <w:rPr>
          <w:rFonts w:asciiTheme="minorHAnsi" w:hAnsiTheme="minorHAnsi" w:cstheme="minorHAnsi"/>
          <w:sz w:val="19"/>
          <w:szCs w:val="19"/>
        </w:rPr>
      </w:pPr>
      <w:r>
        <w:rPr>
          <w:rFonts w:asciiTheme="minorHAnsi" w:hAnsiTheme="minorHAnsi" w:cstheme="minorHAnsi"/>
          <w:sz w:val="19"/>
          <w:szCs w:val="19"/>
        </w:rPr>
        <w:t xml:space="preserve">Due </w:t>
      </w:r>
      <w:r>
        <w:rPr>
          <w:rFonts w:asciiTheme="minorHAnsi" w:hAnsiTheme="minorHAnsi" w:cstheme="minorHAnsi"/>
          <w:sz w:val="19"/>
          <w:szCs w:val="19"/>
        </w:rPr>
        <w:t xml:space="preserve">to safety concerns </w:t>
      </w:r>
      <w:r>
        <w:rPr>
          <w:rFonts w:asciiTheme="minorHAnsi" w:hAnsiTheme="minorHAnsi" w:cstheme="minorHAnsi"/>
          <w:sz w:val="19"/>
          <w:szCs w:val="19"/>
        </w:rPr>
        <w:t xml:space="preserve">for bioaerosol testing, </w:t>
      </w:r>
      <w:r>
        <w:rPr>
          <w:rFonts w:asciiTheme="minorHAnsi" w:hAnsiTheme="minorHAnsi" w:cstheme="minorHAnsi"/>
          <w:sz w:val="19"/>
          <w:szCs w:val="19"/>
        </w:rPr>
        <w:t>organism</w:t>
      </w:r>
      <w:r>
        <w:rPr>
          <w:rFonts w:asciiTheme="minorHAnsi" w:hAnsiTheme="minorHAnsi" w:cstheme="minorHAnsi"/>
          <w:sz w:val="19"/>
          <w:szCs w:val="19"/>
        </w:rPr>
        <w:t xml:space="preserve"> selection </w:t>
      </w:r>
      <w:r>
        <w:rPr>
          <w:rFonts w:asciiTheme="minorHAnsi" w:hAnsiTheme="minorHAnsi" w:cstheme="minorHAnsi"/>
          <w:sz w:val="19"/>
          <w:szCs w:val="19"/>
        </w:rPr>
        <w:t>was</w:t>
      </w:r>
      <w:r>
        <w:rPr>
          <w:rFonts w:asciiTheme="minorHAnsi" w:hAnsiTheme="minorHAnsi" w:cstheme="minorHAnsi"/>
          <w:sz w:val="19"/>
          <w:szCs w:val="19"/>
        </w:rPr>
        <w:t xml:space="preserve"> based on Biological Safety Level 1 (BSL1) species </w:t>
      </w:r>
      <w:r>
        <w:rPr>
          <w:rFonts w:asciiTheme="minorHAnsi" w:hAnsiTheme="minorHAnsi" w:cstheme="minorHAnsi"/>
          <w:sz w:val="19"/>
          <w:szCs w:val="19"/>
        </w:rPr>
        <w:t xml:space="preserve">which served </w:t>
      </w:r>
      <w:r>
        <w:rPr>
          <w:rFonts w:asciiTheme="minorHAnsi" w:hAnsiTheme="minorHAnsi" w:cstheme="minorHAnsi"/>
          <w:sz w:val="19"/>
          <w:szCs w:val="19"/>
        </w:rPr>
        <w:t xml:space="preserve">as surrogates for </w:t>
      </w:r>
      <w:r>
        <w:rPr>
          <w:rFonts w:asciiTheme="minorHAnsi" w:hAnsiTheme="minorHAnsi" w:cstheme="minorHAnsi"/>
          <w:sz w:val="19"/>
          <w:szCs w:val="19"/>
        </w:rPr>
        <w:t xml:space="preserve">more dangerous </w:t>
      </w:r>
      <w:r>
        <w:rPr>
          <w:rFonts w:asciiTheme="minorHAnsi" w:hAnsiTheme="minorHAnsi" w:cstheme="minorHAnsi"/>
          <w:sz w:val="19"/>
          <w:szCs w:val="19"/>
        </w:rPr>
        <w:t xml:space="preserve">pathogenic (BSL2 &amp; BSL3) organisms. </w:t>
      </w:r>
    </w:p>
    <w:p>
      <w:pPr>
        <w:jc w:val="both"/>
        <w:tabs>
          <w:tab w:val="left" w:pos="360"/>
          <w:tab w:val="left" w:pos="3240"/>
        </w:tabs>
        <w:rPr>
          <w:rFonts w:asciiTheme="minorHAnsi" w:hAnsiTheme="minorHAnsi" w:cstheme="minorHAnsi"/>
          <w:sz w:val="20"/>
          <w:szCs w:val="20"/>
        </w:rPr>
      </w:pPr>
      <w:r>
        <w:rPr>
          <w:rFonts w:asciiTheme="minorHAnsi" w:hAnsiTheme="minorHAnsi" w:cstheme="minorHAnsi"/>
          <w:noProof/>
          <w:sz w:val="20"/>
          <w:szCs w:val="20"/>
        </w:rPr>
        <w:drawing>
          <wp:inline distT="0" distB="0" distL="0" distR="0">
            <wp:extent cx="2468880" cy="1066800"/>
            <wp:effectExtent l="0" t="0" r="0" b="0"/>
            <wp:docPr id="1035" name="shape1035"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2468880" cy="1066800"/>
                    </a:xfrm>
                    <a:prstGeom prst="rect"/>
                    <a:noFill/>
                  </pic:spPr>
                </pic:pic>
              </a:graphicData>
            </a:graphic>
          </wp:inline>
        </w:drawing>
      </w:r>
    </w:p>
    <w:p>
      <w:pPr>
        <w:jc w:val="both"/>
        <w:tabs>
          <w:tab w:val="left" w:pos="360"/>
          <w:tab w:val="left" w:pos="3240"/>
        </w:tabs>
        <w:rPr>
          <w:rFonts w:ascii="Garamond" w:hAnsi="Garamond" w:cstheme="minorHAnsi"/>
          <w:sz w:val="18"/>
          <w:szCs w:val="18"/>
        </w:rPr>
      </w:pPr>
      <w:r>
        <w:rPr>
          <w:rFonts w:ascii="Garamond" w:hAnsi="Garamond" w:cstheme="minorHAnsi"/>
          <w:b/>
          <w:color w:val="0070C0"/>
          <w:sz w:val="18"/>
          <w:szCs w:val="18"/>
        </w:rPr>
        <w:t xml:space="preserve">Figure </w:t>
      </w:r>
      <w:r>
        <w:rPr>
          <w:rFonts w:ascii="Garamond" w:hAnsi="Garamond" w:cstheme="minorHAnsi"/>
          <w:b/>
          <w:color w:val="0070C0"/>
          <w:sz w:val="18"/>
          <w:szCs w:val="18"/>
        </w:rPr>
        <w:t>6</w:t>
      </w:r>
      <w:r>
        <w:rPr>
          <w:rFonts w:ascii="Garamond" w:hAnsi="Garamond" w:cstheme="minorHAnsi"/>
          <w:sz w:val="18"/>
          <w:szCs w:val="18"/>
        </w:rPr>
        <w:t>. TSI Aerodynamic Particle Sizer (APS) model 3321 used to measure total particle concentration and particle size distribution of the challenge bioaerosol.  Range 0.54-20.0 µm aerodynamic diameter, with 1 particle/L detection limits.</w:t>
      </w:r>
    </w:p>
    <w:p>
      <w:pPr>
        <w:pStyle w:val="NormalWeb"/>
        <w:jc w:val="both"/>
        <w:rPr>
          <w:rFonts w:asciiTheme="minorHAnsi" w:hAnsiTheme="minorHAnsi" w:cstheme="minorHAnsi"/>
          <w:b/>
          <w:sz w:val="20"/>
          <w:szCs w:val="20"/>
        </w:rPr>
      </w:pPr>
      <w:r>
        <w:rPr>
          <w:rFonts w:asciiTheme="minorHAnsi" w:hAnsiTheme="minorHAnsi" w:cstheme="minorHAnsi"/>
          <w:b/>
          <w:sz w:val="20"/>
          <w:szCs w:val="20"/>
        </w:rPr>
        <w:t xml:space="preserve">Viral Challenges: </w:t>
      </w:r>
    </w:p>
    <w:p>
      <w:pPr>
        <w:pStyle w:val="NormalWeb"/>
        <w:ind w:firstLine="360"/>
        <w:jc w:val="both"/>
        <w:rPr>
          <w:rFonts w:asciiTheme="minorHAnsi" w:hAnsiTheme="minorHAnsi" w:cstheme="minorHAnsi"/>
          <w:sz w:val="19"/>
          <w:szCs w:val="19"/>
        </w:rPr>
      </w:pPr>
      <w:r>
        <w:rPr>
          <w:rFonts w:asciiTheme="minorHAnsi" w:hAnsiTheme="minorHAnsi" w:cstheme="minorHAnsi"/>
          <w:sz w:val="19"/>
          <w:szCs w:val="19"/>
        </w:rPr>
        <w:t>MS2</w:t>
      </w:r>
      <w:r>
        <w:rPr>
          <w:rFonts w:asciiTheme="minorHAnsi" w:hAnsiTheme="minorHAnsi" w:cstheme="minorHAnsi"/>
          <w:sz w:val="19"/>
          <w:szCs w:val="19"/>
        </w:rPr>
        <w:t xml:space="preserve"> bacteriophage</w:t>
      </w:r>
      <w:r>
        <w:rPr>
          <w:rFonts w:asciiTheme="minorHAnsi" w:hAnsiTheme="minorHAnsi" w:cstheme="minorHAnsi"/>
          <w:sz w:val="19"/>
          <w:szCs w:val="19"/>
        </w:rPr>
        <w:t xml:space="preserve"> is a viral </w:t>
      </w:r>
      <w:r>
        <w:rPr>
          <w:rFonts w:asciiTheme="minorHAnsi" w:hAnsiTheme="minorHAnsi" w:cstheme="minorHAnsi"/>
          <w:sz w:val="19"/>
          <w:szCs w:val="19"/>
        </w:rPr>
        <w:t>s</w:t>
      </w:r>
      <w:r>
        <w:rPr>
          <w:rFonts w:asciiTheme="minorHAnsi" w:hAnsiTheme="minorHAnsi" w:cstheme="minorHAnsi"/>
          <w:sz w:val="19"/>
          <w:szCs w:val="19"/>
        </w:rPr>
        <w:t>ingle-</w:t>
      </w:r>
      <w:r>
        <w:rPr>
          <w:rFonts w:asciiTheme="minorHAnsi" w:hAnsiTheme="minorHAnsi" w:cstheme="minorHAnsi"/>
          <w:sz w:val="19"/>
          <w:szCs w:val="19"/>
        </w:rPr>
        <w:t>s</w:t>
      </w:r>
      <w:r>
        <w:rPr>
          <w:rFonts w:asciiTheme="minorHAnsi" w:hAnsiTheme="minorHAnsi" w:cstheme="minorHAnsi"/>
          <w:sz w:val="19"/>
          <w:szCs w:val="19"/>
        </w:rPr>
        <w:t>tranded</w:t>
      </w:r>
      <w:r>
        <w:rPr>
          <w:rFonts w:asciiTheme="minorHAnsi" w:hAnsiTheme="minorHAnsi" w:cstheme="minorHAnsi"/>
          <w:sz w:val="19"/>
          <w:szCs w:val="19"/>
        </w:rPr>
        <w:t>,</w:t>
      </w:r>
      <w:r>
        <w:rPr>
          <w:rFonts w:asciiTheme="minorHAnsi" w:hAnsiTheme="minorHAnsi" w:cstheme="minorHAnsi"/>
          <w:sz w:val="19"/>
          <w:szCs w:val="19"/>
        </w:rPr>
        <w:t xml:space="preserve"> non-enveloped </w:t>
      </w:r>
      <w:r>
        <w:rPr>
          <w:rFonts w:asciiTheme="minorHAnsi" w:hAnsiTheme="minorHAnsi" w:cstheme="minorHAnsi"/>
          <w:sz w:val="19"/>
          <w:szCs w:val="19"/>
        </w:rPr>
        <w:t xml:space="preserve">RNA bacteriophage that </w:t>
      </w:r>
      <w:r>
        <w:rPr>
          <w:rFonts w:asciiTheme="minorHAnsi" w:hAnsiTheme="minorHAnsi" w:cstheme="minorHAnsi"/>
          <w:sz w:val="19"/>
          <w:szCs w:val="19"/>
        </w:rPr>
        <w:t>has</w:t>
      </w:r>
      <w:r>
        <w:rPr>
          <w:rFonts w:asciiTheme="minorHAnsi" w:hAnsiTheme="minorHAnsi" w:cstheme="minorHAnsi"/>
          <w:sz w:val="19"/>
          <w:szCs w:val="19"/>
        </w:rPr>
        <w:t xml:space="preserve"> </w:t>
      </w:r>
      <w:r>
        <w:rPr>
          <w:rFonts w:asciiTheme="minorHAnsi" w:hAnsiTheme="minorHAnsi" w:cstheme="minorHAnsi"/>
          <w:sz w:val="19"/>
          <w:szCs w:val="19"/>
        </w:rPr>
        <w:t xml:space="preserve">historically </w:t>
      </w:r>
      <w:r>
        <w:rPr>
          <w:rFonts w:asciiTheme="minorHAnsi" w:hAnsiTheme="minorHAnsi" w:cstheme="minorHAnsi"/>
          <w:sz w:val="19"/>
          <w:szCs w:val="19"/>
        </w:rPr>
        <w:t>been</w:t>
      </w:r>
      <w:r>
        <w:rPr>
          <w:rFonts w:asciiTheme="minorHAnsi" w:hAnsiTheme="minorHAnsi" w:cstheme="minorHAnsi"/>
          <w:sz w:val="19"/>
          <w:szCs w:val="19"/>
        </w:rPr>
        <w:t xml:space="preserve"> used</w:t>
      </w:r>
      <w:r>
        <w:rPr>
          <w:rFonts w:asciiTheme="minorHAnsi" w:hAnsiTheme="minorHAnsi" w:cstheme="minorHAnsi"/>
          <w:sz w:val="19"/>
          <w:szCs w:val="19"/>
        </w:rPr>
        <w:t xml:space="preserve"> </w:t>
      </w:r>
      <w:r>
        <w:rPr>
          <w:rFonts w:asciiTheme="minorHAnsi" w:hAnsiTheme="minorHAnsi" w:cstheme="minorHAnsi"/>
          <w:sz w:val="19"/>
          <w:szCs w:val="19"/>
        </w:rPr>
        <w:t xml:space="preserve">as a surrogate for </w:t>
      </w:r>
      <w:r>
        <w:rPr>
          <w:rFonts w:asciiTheme="minorHAnsi" w:hAnsiTheme="minorHAnsi" w:cstheme="minorHAnsi"/>
          <w:sz w:val="19"/>
          <w:szCs w:val="19"/>
        </w:rPr>
        <w:t>influenza viruses.  MS2 has also recently been used as a tentative surrogate for SARS-</w:t>
      </w:r>
      <w:r>
        <w:rPr>
          <w:rFonts w:asciiTheme="minorHAnsi" w:hAnsiTheme="minorHAnsi" w:cstheme="minorHAnsi"/>
          <w:sz w:val="19"/>
          <w:szCs w:val="19"/>
        </w:rPr>
        <w:t>C</w:t>
      </w:r>
      <w:r>
        <w:rPr>
          <w:rFonts w:asciiTheme="minorHAnsi" w:hAnsiTheme="minorHAnsi" w:cstheme="minorHAnsi"/>
          <w:sz w:val="19"/>
          <w:szCs w:val="19"/>
        </w:rPr>
        <w:t>o</w:t>
      </w:r>
      <w:r>
        <w:rPr>
          <w:rFonts w:asciiTheme="minorHAnsi" w:hAnsiTheme="minorHAnsi" w:cstheme="minorHAnsi"/>
          <w:sz w:val="19"/>
          <w:szCs w:val="19"/>
        </w:rPr>
        <w:t>V-</w:t>
      </w:r>
      <w:r>
        <w:rPr>
          <w:rFonts w:asciiTheme="minorHAnsi" w:hAnsiTheme="minorHAnsi" w:cstheme="minorHAnsi"/>
          <w:sz w:val="19"/>
          <w:szCs w:val="19"/>
        </w:rPr>
        <w:t>2</w:t>
      </w:r>
      <w:r>
        <w:rPr>
          <w:rFonts w:asciiTheme="minorHAnsi" w:hAnsiTheme="minorHAnsi" w:cstheme="minorHAnsi"/>
          <w:sz w:val="19"/>
          <w:szCs w:val="19"/>
        </w:rPr>
        <w:t xml:space="preserve"> </w:t>
      </w:r>
      <w:r>
        <w:rPr>
          <w:rFonts w:asciiTheme="minorHAnsi" w:hAnsiTheme="minorHAnsi" w:cstheme="minorHAnsi"/>
          <w:sz w:val="19"/>
          <w:szCs w:val="19"/>
        </w:rPr>
        <w:t>in</w:t>
      </w:r>
      <w:r>
        <w:rPr>
          <w:rFonts w:asciiTheme="minorHAnsi" w:hAnsiTheme="minorHAnsi" w:cstheme="minorHAnsi"/>
          <w:sz w:val="19"/>
          <w:szCs w:val="19"/>
        </w:rPr>
        <w:t xml:space="preserve"> numerous published bioaerosol studies.</w:t>
      </w:r>
      <w:r>
        <w:rPr>
          <w:rFonts w:asciiTheme="minorHAnsi" w:hAnsiTheme="minorHAnsi" w:cstheme="minorHAnsi"/>
          <w:sz w:val="19"/>
          <w:szCs w:val="19"/>
        </w:rPr>
        <w:t xml:space="preserve">  </w:t>
      </w:r>
      <w:r>
        <w:rPr>
          <w:rFonts w:asciiTheme="minorHAnsi" w:hAnsiTheme="minorHAnsi" w:cstheme="minorHAnsi"/>
          <w:sz w:val="19"/>
          <w:szCs w:val="19"/>
        </w:rPr>
        <w:t>PhiX-174 (Φ</w:t>
      </w:r>
      <w:r>
        <w:rPr>
          <w:rFonts w:asciiTheme="minorHAnsi" w:hAnsiTheme="minorHAnsi" w:cstheme="minorHAnsi"/>
          <w:sz w:val="19"/>
          <w:szCs w:val="19"/>
        </w:rPr>
        <w:t>-</w:t>
      </w:r>
      <w:r>
        <w:rPr>
          <w:rFonts w:asciiTheme="minorHAnsi" w:hAnsiTheme="minorHAnsi" w:cstheme="minorHAnsi"/>
          <w:sz w:val="19"/>
          <w:szCs w:val="19"/>
        </w:rPr>
        <w:t>X</w:t>
      </w:r>
      <w:r>
        <w:rPr>
          <w:rFonts w:asciiTheme="minorHAnsi" w:hAnsiTheme="minorHAnsi" w:cstheme="minorHAnsi"/>
          <w:sz w:val="19"/>
          <w:szCs w:val="19"/>
        </w:rPr>
        <w:t>174</w:t>
      </w:r>
      <w:r>
        <w:rPr>
          <w:rFonts w:asciiTheme="minorHAnsi" w:hAnsiTheme="minorHAnsi" w:cstheme="minorHAnsi"/>
          <w:sz w:val="19"/>
          <w:szCs w:val="19"/>
        </w:rPr>
        <w:t>)</w:t>
      </w:r>
      <w:r>
        <w:rPr>
          <w:rFonts w:asciiTheme="minorHAnsi" w:hAnsiTheme="minorHAnsi" w:cstheme="minorHAnsi"/>
          <w:sz w:val="19"/>
          <w:szCs w:val="19"/>
        </w:rPr>
        <w:t xml:space="preserve"> is a viral, single</w:t>
      </w:r>
      <w:r>
        <w:rPr>
          <w:rFonts w:asciiTheme="minorHAnsi" w:hAnsiTheme="minorHAnsi" w:cstheme="minorHAnsi"/>
          <w:sz w:val="19"/>
          <w:szCs w:val="19"/>
        </w:rPr>
        <w:t>-</w:t>
      </w:r>
      <w:r>
        <w:rPr>
          <w:rFonts w:asciiTheme="minorHAnsi" w:hAnsiTheme="minorHAnsi" w:cstheme="minorHAnsi"/>
          <w:sz w:val="19"/>
          <w:szCs w:val="19"/>
        </w:rPr>
        <w:t>stranded, non-enveloped, DNA bacteriophage traditionally used as a surrogate for vir</w:t>
      </w:r>
      <w:r>
        <w:rPr>
          <w:rFonts w:asciiTheme="minorHAnsi" w:hAnsiTheme="minorHAnsi" w:cstheme="minorHAnsi"/>
          <w:sz w:val="19"/>
          <w:szCs w:val="19"/>
        </w:rPr>
        <w:t>al</w:t>
      </w:r>
      <w:r>
        <w:rPr>
          <w:rFonts w:asciiTheme="minorHAnsi" w:hAnsiTheme="minorHAnsi" w:cstheme="minorHAnsi"/>
          <w:sz w:val="19"/>
          <w:szCs w:val="19"/>
        </w:rPr>
        <w:t xml:space="preserve"> species such as herpes simplex and smallpox.</w:t>
      </w:r>
    </w:p>
    <w:p>
      <w:pPr>
        <w:ind w:firstLine="360"/>
        <w:jc w:val="both"/>
        <w:rPr>
          <w:rFonts w:asciiTheme="minorHAnsi" w:hAnsiTheme="minorHAnsi" w:cstheme="minorHAnsi"/>
          <w:sz w:val="19"/>
          <w:szCs w:val="19"/>
        </w:rPr>
      </w:pPr>
      <w:r>
        <w:rPr>
          <w:rFonts w:asciiTheme="minorHAnsi" w:hAnsiTheme="minorHAnsi" w:cstheme="minorHAnsi"/>
          <w:sz w:val="19"/>
          <w:szCs w:val="19"/>
        </w:rPr>
        <w:t xml:space="preserve">The US FDA guidance document, </w:t>
      </w:r>
      <w:r>
        <w:rPr>
          <w:rFonts w:asciiTheme="minorHAnsi" w:hAnsiTheme="minorHAnsi" w:cstheme="minorHAnsi"/>
          <w:i/>
          <w:sz w:val="19"/>
          <w:szCs w:val="19"/>
        </w:rPr>
        <w:t>Enforcement Policy for Sterilizers, Disinfectant Devices, and Air Purifiers During the Coronavirus Disease 2019 (COVID-19) Public Health Emergency</w:t>
      </w:r>
      <w:r>
        <w:rPr>
          <w:rFonts w:asciiTheme="minorHAnsi" w:hAnsiTheme="minorHAnsi" w:cstheme="minorHAnsi"/>
          <w:sz w:val="19"/>
          <w:szCs w:val="19"/>
        </w:rPr>
        <w:t xml:space="preserve">, states that lipid enveloped viruses, such as coronaviruses, are the least resistant microorganisms to disinfectants. It is </w:t>
      </w:r>
      <w:r>
        <w:rPr>
          <w:rFonts w:asciiTheme="minorHAnsi" w:hAnsiTheme="minorHAnsi" w:cstheme="minorHAnsi"/>
          <w:sz w:val="19"/>
          <w:szCs w:val="19"/>
        </w:rPr>
        <w:t>pre</w:t>
      </w:r>
      <w:r>
        <w:rPr>
          <w:rFonts w:asciiTheme="minorHAnsi" w:hAnsiTheme="minorHAnsi" w:cstheme="minorHAnsi"/>
          <w:sz w:val="19"/>
          <w:szCs w:val="19"/>
        </w:rPr>
        <w:t xml:space="preserve">sumed that this </w:t>
      </w:r>
      <w:r>
        <w:rPr>
          <w:rFonts w:asciiTheme="minorHAnsi" w:hAnsiTheme="minorHAnsi" w:cstheme="minorHAnsi"/>
          <w:sz w:val="19"/>
          <w:szCs w:val="19"/>
        </w:rPr>
        <w:t>susceptibility</w:t>
      </w:r>
      <w:r>
        <w:rPr>
          <w:rFonts w:asciiTheme="minorHAnsi" w:hAnsiTheme="minorHAnsi" w:cstheme="minorHAnsi"/>
          <w:sz w:val="19"/>
          <w:szCs w:val="19"/>
        </w:rPr>
        <w:t xml:space="preserve"> is similar for other chemical</w:t>
      </w:r>
      <w:r>
        <w:rPr>
          <w:rFonts w:asciiTheme="minorHAnsi" w:hAnsiTheme="minorHAnsi" w:cstheme="minorHAnsi"/>
          <w:sz w:val="19"/>
          <w:szCs w:val="19"/>
        </w:rPr>
        <w:t>, physical</w:t>
      </w:r>
      <w:r>
        <w:rPr>
          <w:rFonts w:asciiTheme="minorHAnsi" w:hAnsiTheme="minorHAnsi" w:cstheme="minorHAnsi"/>
          <w:sz w:val="19"/>
          <w:szCs w:val="19"/>
        </w:rPr>
        <w:t xml:space="preserve"> and catalytic methods</w:t>
      </w:r>
      <w:r>
        <w:rPr>
          <w:rFonts w:asciiTheme="minorHAnsi" w:hAnsiTheme="minorHAnsi" w:cstheme="minorHAnsi"/>
          <w:sz w:val="19"/>
          <w:szCs w:val="19"/>
        </w:rPr>
        <w:t xml:space="preserve"> </w:t>
      </w:r>
      <w:r>
        <w:rPr>
          <w:rFonts w:asciiTheme="minorHAnsi" w:hAnsiTheme="minorHAnsi" w:cstheme="minorHAnsi"/>
          <w:sz w:val="19"/>
          <w:szCs w:val="19"/>
        </w:rPr>
        <w:t xml:space="preserve">of </w:t>
      </w:r>
      <w:r>
        <w:rPr>
          <w:rFonts w:asciiTheme="minorHAnsi" w:hAnsiTheme="minorHAnsi" w:cstheme="minorHAnsi"/>
          <w:sz w:val="19"/>
          <w:szCs w:val="19"/>
        </w:rPr>
        <w:t>destruction</w:t>
      </w:r>
      <w:r>
        <w:rPr>
          <w:rFonts w:asciiTheme="minorHAnsi" w:hAnsiTheme="minorHAnsi" w:cstheme="minorHAnsi"/>
          <w:sz w:val="19"/>
          <w:szCs w:val="19"/>
        </w:rPr>
        <w:t xml:space="preserve">. </w:t>
      </w:r>
    </w:p>
    <w:p>
      <w:pPr>
        <w:ind w:firstLine="360"/>
        <w:jc w:val="both"/>
        <w:rPr>
          <w:rFonts w:asciiTheme="minorHAnsi" w:hAnsiTheme="minorHAnsi" w:cstheme="minorHAnsi"/>
          <w:sz w:val="19"/>
          <w:szCs w:val="19"/>
        </w:rPr>
      </w:pPr>
    </w:p>
    <w:p>
      <w:pPr>
        <w:ind w:firstLine="360"/>
        <w:jc w:val="both"/>
        <w:rPr>
          <w:rFonts w:asciiTheme="minorHAnsi" w:hAnsiTheme="minorHAnsi" w:cstheme="minorHAnsi"/>
          <w:sz w:val="19"/>
          <w:szCs w:val="19"/>
        </w:rPr>
      </w:pPr>
      <w:r>
        <w:rPr>
          <w:rFonts w:asciiTheme="minorHAnsi" w:hAnsiTheme="minorHAnsi" w:cstheme="minorHAnsi"/>
          <w:sz w:val="19"/>
          <w:szCs w:val="19"/>
        </w:rPr>
        <w:t xml:space="preserve">MS2 and Phi X174 are non-enveloped viruses, which makes them more resistant to disinfection than lipid viruses, </w:t>
      </w:r>
      <w:r>
        <w:rPr>
          <w:rFonts w:asciiTheme="minorHAnsi" w:hAnsiTheme="minorHAnsi" w:cstheme="minorHAnsi"/>
          <w:sz w:val="19"/>
          <w:szCs w:val="19"/>
        </w:rPr>
        <w:t xml:space="preserve">and </w:t>
      </w:r>
      <w:r>
        <w:rPr>
          <w:rFonts w:asciiTheme="minorHAnsi" w:hAnsiTheme="minorHAnsi" w:cstheme="minorHAnsi"/>
          <w:sz w:val="19"/>
          <w:szCs w:val="19"/>
        </w:rPr>
        <w:t xml:space="preserve">therefore, should </w:t>
      </w:r>
      <w:r>
        <w:rPr>
          <w:rFonts w:asciiTheme="minorHAnsi" w:hAnsiTheme="minorHAnsi" w:cstheme="minorHAnsi"/>
          <w:sz w:val="19"/>
          <w:szCs w:val="19"/>
        </w:rPr>
        <w:t>represent a “wors</w:t>
      </w:r>
      <w:r>
        <w:rPr>
          <w:rFonts w:asciiTheme="minorHAnsi" w:hAnsiTheme="minorHAnsi" w:cstheme="minorHAnsi"/>
          <w:sz w:val="19"/>
          <w:szCs w:val="19"/>
        </w:rPr>
        <w:t>t</w:t>
      </w:r>
      <w:r>
        <w:rPr>
          <w:rFonts w:asciiTheme="minorHAnsi" w:hAnsiTheme="minorHAnsi" w:cstheme="minorHAnsi"/>
          <w:sz w:val="19"/>
          <w:szCs w:val="19"/>
        </w:rPr>
        <w:t xml:space="preserve"> case scenario”</w:t>
      </w:r>
      <w:r>
        <w:rPr>
          <w:rFonts w:asciiTheme="minorHAnsi" w:hAnsiTheme="minorHAnsi" w:cstheme="minorHAnsi"/>
          <w:sz w:val="19"/>
          <w:szCs w:val="19"/>
        </w:rPr>
        <w:t xml:space="preserve"> when compared to </w:t>
      </w:r>
      <w:r>
        <w:rPr>
          <w:rFonts w:asciiTheme="minorHAnsi" w:hAnsiTheme="minorHAnsi" w:cstheme="minorHAnsi"/>
          <w:sz w:val="19"/>
          <w:szCs w:val="19"/>
        </w:rPr>
        <w:t>actual lipid-enveloped RNA virus</w:t>
      </w:r>
      <w:r>
        <w:rPr>
          <w:rFonts w:asciiTheme="minorHAnsi" w:hAnsiTheme="minorHAnsi" w:cstheme="minorHAnsi"/>
          <w:sz w:val="19"/>
          <w:szCs w:val="19"/>
        </w:rPr>
        <w:t>es like</w:t>
      </w:r>
      <w:r>
        <w:rPr>
          <w:rFonts w:asciiTheme="minorHAnsi" w:hAnsiTheme="minorHAnsi" w:cstheme="minorHAnsi"/>
          <w:sz w:val="19"/>
          <w:szCs w:val="19"/>
        </w:rPr>
        <w:t xml:space="preserve"> </w:t>
      </w:r>
      <w:r>
        <w:rPr>
          <w:rFonts w:asciiTheme="minorHAnsi" w:hAnsiTheme="minorHAnsi" w:cstheme="minorHAnsi"/>
          <w:sz w:val="19"/>
          <w:szCs w:val="19"/>
        </w:rPr>
        <w:t xml:space="preserve">SARS-CoV-2. </w:t>
      </w:r>
      <w:r>
        <w:rPr>
          <w:rFonts w:asciiTheme="minorHAnsi" w:hAnsiTheme="minorHAnsi" w:cstheme="minorHAnsi"/>
          <w:b/>
          <w:color w:val="0070C0"/>
          <w:sz w:val="19"/>
          <w:szCs w:val="19"/>
        </w:rPr>
        <w:t xml:space="preserve">Figure </w:t>
      </w:r>
      <w:r>
        <w:rPr>
          <w:rFonts w:asciiTheme="minorHAnsi" w:hAnsiTheme="minorHAnsi" w:cstheme="minorHAnsi"/>
          <w:b/>
          <w:color w:val="0070C0"/>
          <w:sz w:val="19"/>
          <w:szCs w:val="19"/>
        </w:rPr>
        <w:t>7</w:t>
      </w:r>
      <w:r>
        <w:rPr>
          <w:rFonts w:asciiTheme="minorHAnsi" w:hAnsiTheme="minorHAnsi" w:cstheme="minorHAnsi"/>
          <w:color w:val="0070C0"/>
          <w:sz w:val="19"/>
          <w:szCs w:val="19"/>
        </w:rPr>
        <w:t xml:space="preserve"> </w:t>
      </w:r>
      <w:r>
        <w:rPr>
          <w:rFonts w:asciiTheme="minorHAnsi" w:hAnsiTheme="minorHAnsi" w:cstheme="minorHAnsi"/>
          <w:sz w:val="19"/>
          <w:szCs w:val="19"/>
        </w:rPr>
        <w:t xml:space="preserve">is a graphic from the FDA document, </w:t>
      </w:r>
      <w:r>
        <w:rPr>
          <w:rFonts w:asciiTheme="minorHAnsi" w:hAnsiTheme="minorHAnsi" w:cstheme="minorHAnsi"/>
          <w:i/>
          <w:sz w:val="19"/>
          <w:szCs w:val="19"/>
        </w:rPr>
        <w:t>COVID Sterilizers, Disinfectant Devices, and Air Purifiers Guidance</w:t>
      </w:r>
      <w:r>
        <w:rPr>
          <w:rFonts w:asciiTheme="minorHAnsi" w:hAnsiTheme="minorHAnsi" w:cstheme="minorHAnsi"/>
          <w:sz w:val="19"/>
          <w:szCs w:val="19"/>
        </w:rPr>
        <w:t>, demonstrating resistance to disinfection.</w:t>
      </w:r>
    </w:p>
    <w:p>
      <w:pPr>
        <w:ind w:firstLine="360"/>
        <w:jc w:val="both"/>
        <w:rPr>
          <w:rFonts w:asciiTheme="minorHAnsi" w:hAnsiTheme="minorHAnsi" w:cstheme="minorHAnsi"/>
          <w:sz w:val="19"/>
          <w:szCs w:val="19"/>
        </w:rPr>
      </w:pPr>
    </w:p>
    <w:p>
      <w:pPr>
        <w:pStyle w:val="NormalWeb"/>
        <w:jc w:val="center"/>
        <w:spacing w:after="0" w:afterAutospacing="0" w:before="0" w:beforeAutospacing="0"/>
        <w:rPr>
          <w:rFonts w:asciiTheme="minorHAnsi" w:hAnsiTheme="minorHAnsi" w:cstheme="minorHAnsi"/>
          <w:sz w:val="20"/>
          <w:szCs w:val="20"/>
        </w:rPr>
      </w:pPr>
      <w:r>
        <w:rPr>
          <w:rFonts w:asciiTheme="minorHAnsi" w:hAnsiTheme="minorHAnsi" w:cstheme="minorHAnsi"/>
          <w:noProof/>
          <w:sz w:val="20"/>
          <w:szCs w:val="20"/>
        </w:rPr>
        <w:drawing>
          <wp:inline distT="0" distB="0" distL="0" distR="0">
            <wp:extent cx="2872730" cy="1552609"/>
            <wp:effectExtent l="0" t="0" r="0" b="0"/>
            <wp:docPr id="1036" name="shape1036"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10">
                      <a:extLst>
                        <a:ext uri="{28A0092B-C50C-407E-A947-70E740481C1C}">
                          <a14:useLocalDpi xmlns:a14="http://schemas.microsoft.com/office/drawing/2010/main" val="0"/>
                        </a:ext>
                      </a:extLst>
                    </a:blip>
                    <a:srcRect/>
                    <a:stretch>
                      <a:fillRect/>
                    </a:stretch>
                  </pic:blipFill>
                  <pic:spPr>
                    <a:xfrm>
                      <a:off x="0" y="0"/>
                      <a:ext cx="2872730" cy="1552609"/>
                    </a:xfrm>
                    <a:prstGeom prst="rect"/>
                    <a:noFill/>
                  </pic:spPr>
                </pic:pic>
              </a:graphicData>
            </a:graphic>
          </wp:inline>
        </w:drawing>
      </w:r>
    </w:p>
    <w:p>
      <w:pPr>
        <w:jc w:val="both"/>
        <w:rPr>
          <w:rFonts w:ascii="Garamond" w:hAnsi="Garamond" w:cstheme="minorHAnsi"/>
          <w:sz w:val="20"/>
          <w:szCs w:val="20"/>
        </w:rPr>
      </w:pPr>
      <w:r>
        <w:rPr>
          <w:rFonts w:ascii="Garamond" w:hAnsi="Garamond" w:cstheme="minorHAnsi"/>
          <w:b/>
          <w:color w:val="0070C0"/>
          <w:sz w:val="20"/>
          <w:szCs w:val="20"/>
        </w:rPr>
        <w:t xml:space="preserve">Figure </w:t>
      </w:r>
      <w:r>
        <w:rPr>
          <w:rFonts w:ascii="Garamond" w:hAnsi="Garamond" w:cstheme="minorHAnsi"/>
          <w:b/>
          <w:color w:val="0070C0"/>
          <w:sz w:val="20"/>
          <w:szCs w:val="20"/>
        </w:rPr>
        <w:t>7</w:t>
      </w:r>
      <w:r>
        <w:rPr>
          <w:rFonts w:ascii="Garamond" w:hAnsi="Garamond" w:cstheme="minorHAnsi"/>
          <w:color w:val="0070C0"/>
          <w:sz w:val="20"/>
          <w:szCs w:val="20"/>
        </w:rPr>
        <w:t xml:space="preserve">: </w:t>
      </w:r>
      <w:r>
        <w:rPr>
          <w:rFonts w:ascii="Garamond" w:hAnsi="Garamond" w:cstheme="minorHAnsi"/>
          <w:sz w:val="20"/>
          <w:szCs w:val="20"/>
        </w:rPr>
        <w:t xml:space="preserve">FDA </w:t>
      </w:r>
      <w:r>
        <w:rPr>
          <w:rFonts w:ascii="Garamond" w:hAnsi="Garamond" w:cstheme="minorHAnsi"/>
          <w:sz w:val="20"/>
          <w:szCs w:val="20"/>
        </w:rPr>
        <w:t>graphic demonstrating general r</w:t>
      </w:r>
      <w:r>
        <w:rPr>
          <w:rFonts w:ascii="Garamond" w:hAnsi="Garamond" w:cstheme="minorHAnsi"/>
          <w:sz w:val="20"/>
          <w:szCs w:val="20"/>
        </w:rPr>
        <w:t xml:space="preserve">esistance to </w:t>
      </w:r>
      <w:r>
        <w:rPr>
          <w:rFonts w:ascii="Garamond" w:hAnsi="Garamond" w:cstheme="minorHAnsi"/>
          <w:sz w:val="20"/>
          <w:szCs w:val="20"/>
        </w:rPr>
        <w:t>d</w:t>
      </w:r>
      <w:r>
        <w:rPr>
          <w:rFonts w:ascii="Garamond" w:hAnsi="Garamond" w:cstheme="minorHAnsi"/>
          <w:sz w:val="20"/>
          <w:szCs w:val="20"/>
        </w:rPr>
        <w:t xml:space="preserve">isinfection for </w:t>
      </w:r>
      <w:r>
        <w:rPr>
          <w:rFonts w:ascii="Garamond" w:hAnsi="Garamond" w:cstheme="minorHAnsi"/>
          <w:sz w:val="20"/>
          <w:szCs w:val="20"/>
        </w:rPr>
        <w:t>v</w:t>
      </w:r>
      <w:r>
        <w:rPr>
          <w:rFonts w:ascii="Garamond" w:hAnsi="Garamond" w:cstheme="minorHAnsi"/>
          <w:sz w:val="20"/>
          <w:szCs w:val="20"/>
        </w:rPr>
        <w:t xml:space="preserve">arious </w:t>
      </w:r>
      <w:r>
        <w:rPr>
          <w:rFonts w:ascii="Garamond" w:hAnsi="Garamond" w:cstheme="minorHAnsi"/>
          <w:sz w:val="20"/>
          <w:szCs w:val="20"/>
        </w:rPr>
        <w:t>microo</w:t>
      </w:r>
      <w:r>
        <w:rPr>
          <w:rFonts w:ascii="Garamond" w:hAnsi="Garamond" w:cstheme="minorHAnsi"/>
          <w:sz w:val="20"/>
          <w:szCs w:val="20"/>
        </w:rPr>
        <w:t>rganisms</w:t>
      </w:r>
      <w:r>
        <w:rPr>
          <w:rFonts w:ascii="Garamond" w:hAnsi="Garamond" w:cstheme="minorHAnsi"/>
          <w:sz w:val="20"/>
          <w:szCs w:val="20"/>
        </w:rPr>
        <w:t>. FDA</w:t>
      </w:r>
      <w:r>
        <w:rPr>
          <w:rFonts w:ascii="Garamond" w:hAnsi="Garamond" w:cstheme="minorHAnsi"/>
          <w:sz w:val="20"/>
          <w:szCs w:val="20"/>
        </w:rPr>
        <w:t>,</w:t>
      </w:r>
      <w:r>
        <w:rPr>
          <w:rFonts w:ascii="Garamond" w:hAnsi="Garamond" w:cstheme="minorHAnsi"/>
          <w:sz w:val="20"/>
          <w:szCs w:val="20"/>
        </w:rPr>
        <w:t xml:space="preserve"> Guidance Enforcement Policy for Sterilizers, Disinfectant Devices, and Air Purifiers During the Coronavirus Disease 2019 (COVID-19)</w:t>
      </w:r>
      <w:r>
        <w:rPr>
          <w:rFonts w:ascii="Garamond" w:hAnsi="Garamond" w:cstheme="minorHAnsi"/>
          <w:sz w:val="20"/>
          <w:szCs w:val="20"/>
        </w:rPr>
        <w:t>. Pg. 7. March 2009.</w:t>
      </w:r>
      <w:r>
        <w:rPr>
          <w:rFonts w:ascii="Garamond" w:hAnsi="Garamond" w:cstheme="minorHAnsi"/>
          <w:sz w:val="20"/>
          <w:szCs w:val="20"/>
        </w:rPr>
        <w:t xml:space="preserve">  SAR-</w:t>
      </w:r>
      <w:r>
        <w:rPr>
          <w:rFonts w:ascii="Garamond" w:hAnsi="Garamond" w:cstheme="minorHAnsi"/>
          <w:sz w:val="20"/>
          <w:szCs w:val="20"/>
        </w:rPr>
        <w:t>C</w:t>
      </w:r>
      <w:r>
        <w:rPr>
          <w:rFonts w:ascii="Garamond" w:hAnsi="Garamond" w:cstheme="minorHAnsi"/>
          <w:sz w:val="20"/>
          <w:szCs w:val="20"/>
        </w:rPr>
        <w:t>o</w:t>
      </w:r>
      <w:r>
        <w:rPr>
          <w:rFonts w:ascii="Garamond" w:hAnsi="Garamond" w:cstheme="minorHAnsi"/>
          <w:sz w:val="20"/>
          <w:szCs w:val="20"/>
        </w:rPr>
        <w:t>V-</w:t>
      </w:r>
      <w:r>
        <w:rPr>
          <w:rFonts w:ascii="Garamond" w:hAnsi="Garamond" w:cstheme="minorHAnsi"/>
          <w:sz w:val="20"/>
          <w:szCs w:val="20"/>
        </w:rPr>
        <w:t>2 (lipid or medium-Sized Virus), MS2 (non-lipid small virus).</w:t>
      </w:r>
    </w:p>
    <w:p>
      <w:pPr>
        <w:pStyle w:val="NormalWeb"/>
        <w:ind w:firstLine="360"/>
        <w:jc w:val="both"/>
        <w:spacing w:after="0" w:afterAutospacing="0" w:before="0" w:beforeAutospacing="0"/>
        <w:rPr>
          <w:rFonts w:asciiTheme="minorHAnsi" w:hAnsiTheme="minorHAnsi" w:cstheme="minorHAnsi"/>
          <w:sz w:val="20"/>
          <w:szCs w:val="20"/>
        </w:rPr>
      </w:pPr>
    </w:p>
    <w:p>
      <w:pPr>
        <w:ind w:firstLine="360"/>
        <w:jc w:val="both"/>
        <w:rPr>
          <w:rFonts w:asciiTheme="minorHAnsi" w:hAnsiTheme="minorHAnsi" w:cstheme="minorHAnsi"/>
          <w:sz w:val="19"/>
          <w:szCs w:val="19"/>
        </w:rPr>
      </w:pPr>
      <w:r>
        <w:rPr>
          <w:rFonts w:asciiTheme="minorHAnsi" w:hAnsiTheme="minorHAnsi" w:cstheme="minorHAnsi"/>
          <w:sz w:val="19"/>
          <w:szCs w:val="19"/>
        </w:rPr>
        <w:t xml:space="preserve">For UV-C deactivation, MS2 is also a much </w:t>
      </w:r>
      <w:r>
        <w:rPr>
          <w:rFonts w:asciiTheme="minorHAnsi" w:hAnsiTheme="minorHAnsi" w:cstheme="minorHAnsi"/>
          <w:sz w:val="19"/>
          <w:szCs w:val="19"/>
        </w:rPr>
        <w:t xml:space="preserve">more resilient </w:t>
      </w:r>
      <w:r>
        <w:rPr>
          <w:rFonts w:asciiTheme="minorHAnsi" w:hAnsiTheme="minorHAnsi" w:cstheme="minorHAnsi"/>
          <w:sz w:val="19"/>
          <w:szCs w:val="19"/>
        </w:rPr>
        <w:t>organism than SARS-CoV-2. To achieve a 1 LOG deactivation of MS2 it takes 15.9 mJ/cm</w:t>
      </w:r>
      <w:r>
        <w:rPr>
          <w:rFonts w:asciiTheme="minorHAnsi" w:hAnsiTheme="minorHAnsi" w:cstheme="minorHAnsi"/>
          <w:sz w:val="19"/>
          <w:szCs w:val="19"/>
          <w:vertAlign w:val="superscript"/>
        </w:rPr>
        <w:t xml:space="preserve">2 </w:t>
      </w:r>
      <w:r>
        <w:rPr>
          <w:rFonts w:asciiTheme="minorHAnsi" w:hAnsiTheme="minorHAnsi" w:cstheme="minorHAnsi"/>
          <w:sz w:val="19"/>
          <w:szCs w:val="19"/>
        </w:rPr>
        <w:t>of UV irradiation (Wilson et al 1992), SARS-CoV-2 takes 3.7mJ/cm</w:t>
      </w:r>
      <w:r>
        <w:rPr>
          <w:rFonts w:asciiTheme="minorHAnsi" w:hAnsiTheme="minorHAnsi" w:cstheme="minorHAnsi"/>
          <w:sz w:val="19"/>
          <w:szCs w:val="19"/>
          <w:vertAlign w:val="superscript"/>
        </w:rPr>
        <w:t xml:space="preserve">2 </w:t>
      </w:r>
      <w:r>
        <w:rPr>
          <w:rFonts w:asciiTheme="minorHAnsi" w:hAnsiTheme="minorHAnsi" w:cstheme="minorHAnsi"/>
          <w:sz w:val="19"/>
          <w:szCs w:val="19"/>
        </w:rPr>
        <w:t>(</w:t>
      </w:r>
      <w:r>
        <w:rPr>
          <w:rFonts w:asciiTheme="minorHAnsi" w:hAnsiTheme="minorHAnsi" w:cs="FranklinGothic-BookItalic"/>
          <w:iCs/>
          <w:sz w:val="20"/>
          <w:szCs w:val="16"/>
        </w:rPr>
        <w:t>Heßling et al 2020)</w:t>
      </w:r>
      <w:r>
        <w:rPr>
          <w:rFonts w:asciiTheme="minorHAnsi" w:hAnsiTheme="minorHAnsi" w:cstheme="minorHAnsi"/>
          <w:sz w:val="19"/>
          <w:szCs w:val="19"/>
        </w:rPr>
        <w:t>.</w:t>
      </w:r>
    </w:p>
    <w:p>
      <w:pPr>
        <w:ind w:firstLine="360"/>
        <w:jc w:val="both"/>
        <w:shd w:val="clear" w:color="auto" w:fill="FFFFFF"/>
        <w:spacing w:after="166" w:before="166"/>
        <w:rPr>
          <w:rFonts w:asciiTheme="minorHAnsi" w:hAnsiTheme="minorHAnsi" w:cstheme="minorHAnsi"/>
          <w:color w:val="000000"/>
          <w:sz w:val="19"/>
          <w:szCs w:val="19"/>
        </w:rPr>
      </w:pPr>
      <w:r>
        <w:rPr>
          <w:rFonts w:asciiTheme="minorHAnsi" w:hAnsiTheme="minorHAnsi" w:cstheme="minorHAnsi"/>
          <w:color w:val="000000"/>
          <w:sz w:val="19"/>
          <w:szCs w:val="19"/>
        </w:rPr>
        <w:t>These results were obtained by investigations on many different coronaviruses, including SARS-CoV and MERS-CoV, but not SARS-CoV-2. Nevertheless, it can be assumed that they are also applicable for SARS-CoV-2 and all future mutations. RNA mutations might have a strong influence on the pathogenicity of a virus, but they do not result in larger structural differences, especially concerning the UV absorption properties of the RNA, which are the main cause for the antiviral effect of ultraviolet radiation.</w:t>
      </w:r>
    </w:p>
    <w:p>
      <w:pPr>
        <w:pStyle w:val="NormalWeb"/>
        <w:jc w:val="both"/>
        <w:spacing w:after="0" w:afterAutospacing="0" w:before="0" w:beforeAutospacing="0"/>
        <w:rPr>
          <w:rFonts w:asciiTheme="minorHAnsi" w:hAnsiTheme="minorHAnsi" w:cstheme="minorHAnsi"/>
          <w:b/>
          <w:sz w:val="20"/>
          <w:szCs w:val="20"/>
        </w:rPr>
      </w:pPr>
      <w:r>
        <w:rPr>
          <w:rFonts w:asciiTheme="minorHAnsi" w:hAnsiTheme="minorHAnsi" w:cstheme="minorHAnsi"/>
          <w:b/>
          <w:sz w:val="20"/>
          <w:szCs w:val="20"/>
        </w:rPr>
        <w:t>Vegetative Bacteria Challenges:</w:t>
      </w:r>
    </w:p>
    <w:p>
      <w:pPr>
        <w:pStyle w:val="NormalWeb"/>
        <w:ind w:firstLine="360"/>
        <w:jc w:val="both"/>
        <w:spacing w:after="0" w:afterAutospacing="0" w:before="0" w:beforeAutospacing="0"/>
        <w:rPr>
          <w:rFonts w:asciiTheme="minorHAnsi" w:hAnsiTheme="minorHAnsi" w:cstheme="minorHAnsi"/>
          <w:sz w:val="20"/>
          <w:szCs w:val="20"/>
        </w:rPr>
      </w:pPr>
    </w:p>
    <w:p>
      <w:pPr>
        <w:pStyle w:val="NormalWeb"/>
        <w:ind w:firstLine="360"/>
        <w:jc w:val="both"/>
        <w:spacing w:after="0" w:afterAutospacing="0" w:before="0" w:beforeAutospacing="0"/>
        <w:rPr>
          <w:rFonts w:asciiTheme="minorHAnsi" w:hAnsiTheme="minorHAnsi" w:cstheme="minorHAnsi"/>
          <w:sz w:val="19"/>
          <w:szCs w:val="19"/>
        </w:rPr>
      </w:pPr>
      <w:r>
        <w:rPr>
          <w:rFonts w:asciiTheme="minorHAnsi" w:hAnsiTheme="minorHAnsi" w:cstheme="minorHAnsi"/>
          <w:sz w:val="19"/>
          <w:szCs w:val="19"/>
        </w:rPr>
        <w:t xml:space="preserve">The vegetative </w:t>
      </w:r>
      <w:r>
        <w:rPr>
          <w:rFonts w:asciiTheme="minorHAnsi" w:hAnsiTheme="minorHAnsi" w:cstheme="minorHAnsi"/>
          <w:sz w:val="19"/>
          <w:szCs w:val="19"/>
        </w:rPr>
        <w:t>b</w:t>
      </w:r>
      <w:r>
        <w:rPr>
          <w:rFonts w:asciiTheme="minorHAnsi" w:hAnsiTheme="minorHAnsi" w:cstheme="minorHAnsi"/>
          <w:sz w:val="19"/>
          <w:szCs w:val="19"/>
        </w:rPr>
        <w:t>acteria</w:t>
      </w:r>
      <w:r>
        <w:rPr>
          <w:rFonts w:asciiTheme="minorHAnsi" w:hAnsiTheme="minorHAnsi" w:cstheme="minorHAnsi"/>
          <w:sz w:val="19"/>
          <w:szCs w:val="19"/>
        </w:rPr>
        <w:t xml:space="preserve"> organism</w:t>
      </w:r>
      <w:r>
        <w:rPr>
          <w:rFonts w:asciiTheme="minorHAnsi" w:hAnsiTheme="minorHAnsi" w:cstheme="minorHAnsi"/>
          <w:sz w:val="19"/>
          <w:szCs w:val="19"/>
        </w:rPr>
        <w:t>s</w:t>
      </w:r>
      <w:r>
        <w:rPr>
          <w:rFonts w:asciiTheme="minorHAnsi" w:hAnsiTheme="minorHAnsi" w:cstheme="minorHAnsi"/>
          <w:sz w:val="19"/>
          <w:szCs w:val="19"/>
        </w:rPr>
        <w:t xml:space="preserve"> used for this study </w:t>
      </w:r>
      <w:r>
        <w:rPr>
          <w:rFonts w:asciiTheme="minorHAnsi" w:hAnsiTheme="minorHAnsi" w:cstheme="minorHAnsi"/>
          <w:sz w:val="19"/>
          <w:szCs w:val="19"/>
        </w:rPr>
        <w:t>include</w:t>
      </w:r>
      <w:r>
        <w:rPr>
          <w:rFonts w:asciiTheme="minorHAnsi" w:hAnsiTheme="minorHAnsi" w:cstheme="minorHAnsi"/>
          <w:sz w:val="19"/>
          <w:szCs w:val="19"/>
        </w:rPr>
        <w:t>d</w:t>
      </w:r>
      <w:r>
        <w:rPr>
          <w:rFonts w:asciiTheme="minorHAnsi" w:hAnsiTheme="minorHAnsi" w:cstheme="minorHAnsi"/>
          <w:sz w:val="19"/>
          <w:szCs w:val="19"/>
        </w:rPr>
        <w:t xml:space="preserve"> </w:t>
      </w:r>
      <w:r>
        <w:rPr>
          <w:rFonts w:asciiTheme="minorHAnsi" w:hAnsiTheme="minorHAnsi" w:cstheme="minorHAnsi"/>
          <w:sz w:val="19"/>
          <w:szCs w:val="19"/>
        </w:rPr>
        <w:t>M</w:t>
      </w:r>
      <w:r>
        <w:rPr>
          <w:rFonts w:asciiTheme="minorHAnsi" w:hAnsiTheme="minorHAnsi" w:cstheme="minorHAnsi"/>
          <w:sz w:val="19"/>
          <w:szCs w:val="19"/>
        </w:rPr>
        <w:t xml:space="preserve">ethicillin </w:t>
      </w:r>
      <w:r>
        <w:rPr>
          <w:rFonts w:asciiTheme="minorHAnsi" w:hAnsiTheme="minorHAnsi" w:cstheme="minorHAnsi"/>
          <w:sz w:val="19"/>
          <w:szCs w:val="19"/>
        </w:rPr>
        <w:t>R</w:t>
      </w:r>
      <w:r>
        <w:rPr>
          <w:rFonts w:asciiTheme="minorHAnsi" w:hAnsiTheme="minorHAnsi" w:cstheme="minorHAnsi"/>
          <w:sz w:val="19"/>
          <w:szCs w:val="19"/>
        </w:rPr>
        <w:t xml:space="preserve">esistant </w:t>
      </w:r>
      <w:r>
        <w:rPr>
          <w:rFonts w:asciiTheme="minorHAnsi" w:hAnsiTheme="minorHAnsi" w:cstheme="minorHAnsi"/>
          <w:i/>
          <w:sz w:val="19"/>
          <w:szCs w:val="19"/>
        </w:rPr>
        <w:t>Staphylococcus</w:t>
      </w:r>
      <w:r>
        <w:rPr>
          <w:rFonts w:asciiTheme="minorHAnsi" w:hAnsiTheme="minorHAnsi" w:cstheme="minorHAnsi"/>
          <w:i/>
          <w:sz w:val="19"/>
          <w:szCs w:val="19"/>
        </w:rPr>
        <w:t xml:space="preserve"> epidermidis</w:t>
      </w:r>
      <w:r>
        <w:rPr>
          <w:rFonts w:asciiTheme="minorHAnsi" w:hAnsiTheme="minorHAnsi" w:cstheme="minorHAnsi"/>
          <w:i/>
          <w:sz w:val="19"/>
          <w:szCs w:val="19"/>
        </w:rPr>
        <w:t xml:space="preserve"> </w:t>
      </w:r>
      <w:r>
        <w:rPr>
          <w:rFonts w:asciiTheme="minorHAnsi" w:hAnsiTheme="minorHAnsi" w:cstheme="minorHAnsi"/>
          <w:sz w:val="19"/>
          <w:szCs w:val="19"/>
        </w:rPr>
        <w:t>(MRSE)</w:t>
      </w:r>
      <w:r>
        <w:rPr>
          <w:rFonts w:asciiTheme="minorHAnsi" w:hAnsiTheme="minorHAnsi" w:cstheme="minorHAnsi"/>
          <w:sz w:val="19"/>
          <w:szCs w:val="19"/>
        </w:rPr>
        <w:t xml:space="preserve"> (ATCC 12228).  </w:t>
      </w:r>
      <w:r>
        <w:rPr>
          <w:rFonts w:asciiTheme="minorHAnsi" w:hAnsiTheme="minorHAnsi" w:cstheme="minorHAnsi"/>
          <w:i/>
          <w:sz w:val="19"/>
          <w:szCs w:val="19"/>
        </w:rPr>
        <w:t>Staphylococcus</w:t>
      </w:r>
      <w:r>
        <w:rPr>
          <w:rFonts w:asciiTheme="minorHAnsi" w:hAnsiTheme="minorHAnsi" w:cstheme="minorHAnsi"/>
          <w:i/>
          <w:sz w:val="19"/>
          <w:szCs w:val="19"/>
        </w:rPr>
        <w:t xml:space="preserve"> epidermidis</w:t>
      </w:r>
      <w:r>
        <w:rPr>
          <w:rFonts w:asciiTheme="minorHAnsi" w:hAnsiTheme="minorHAnsi" w:cstheme="minorHAnsi"/>
          <w:sz w:val="19"/>
          <w:szCs w:val="19"/>
        </w:rPr>
        <w:t xml:space="preserve"> is a </w:t>
      </w:r>
      <w:r>
        <w:rPr>
          <w:rFonts w:asciiTheme="minorHAnsi" w:hAnsiTheme="minorHAnsi" w:cstheme="minorHAnsi"/>
          <w:sz w:val="19"/>
          <w:szCs w:val="19"/>
        </w:rPr>
        <w:t>g</w:t>
      </w:r>
      <w:r>
        <w:rPr>
          <w:rFonts w:asciiTheme="minorHAnsi" w:hAnsiTheme="minorHAnsi" w:cstheme="minorHAnsi"/>
          <w:sz w:val="19"/>
          <w:szCs w:val="19"/>
        </w:rPr>
        <w:t>ram-positive bacterium and BSL1 simulant for a wider range of medically significant pathogens</w:t>
      </w:r>
      <w:r>
        <w:rPr>
          <w:rFonts w:asciiTheme="minorHAnsi" w:hAnsiTheme="minorHAnsi" w:cstheme="minorHAnsi"/>
          <w:sz w:val="19"/>
          <w:szCs w:val="19"/>
        </w:rPr>
        <w:t xml:space="preserve"> including</w:t>
      </w:r>
      <w:r>
        <w:rPr>
          <w:rFonts w:asciiTheme="minorHAnsi" w:hAnsiTheme="minorHAnsi" w:cstheme="minorHAnsi"/>
          <w:sz w:val="19"/>
          <w:szCs w:val="19"/>
        </w:rPr>
        <w:t xml:space="preserve"> </w:t>
      </w:r>
      <w:r>
        <w:rPr>
          <w:rFonts w:asciiTheme="minorHAnsi" w:hAnsiTheme="minorHAnsi" w:cstheme="minorHAnsi"/>
          <w:sz w:val="19"/>
          <w:szCs w:val="19"/>
        </w:rPr>
        <w:t>M</w:t>
      </w:r>
      <w:r>
        <w:rPr>
          <w:rFonts w:asciiTheme="minorHAnsi" w:hAnsiTheme="minorHAnsi" w:cstheme="minorHAnsi"/>
          <w:sz w:val="19"/>
          <w:szCs w:val="19"/>
        </w:rPr>
        <w:t xml:space="preserve">ethicillin </w:t>
      </w:r>
      <w:r>
        <w:rPr>
          <w:rFonts w:asciiTheme="minorHAnsi" w:hAnsiTheme="minorHAnsi" w:cstheme="minorHAnsi"/>
          <w:sz w:val="19"/>
          <w:szCs w:val="19"/>
        </w:rPr>
        <w:t>R</w:t>
      </w:r>
      <w:r>
        <w:rPr>
          <w:rFonts w:asciiTheme="minorHAnsi" w:hAnsiTheme="minorHAnsi" w:cstheme="minorHAnsi"/>
          <w:sz w:val="19"/>
          <w:szCs w:val="19"/>
        </w:rPr>
        <w:t xml:space="preserve">esistant </w:t>
      </w:r>
      <w:r>
        <w:rPr>
          <w:rFonts w:asciiTheme="minorHAnsi" w:hAnsiTheme="minorHAnsi" w:cstheme="minorHAnsi"/>
          <w:i/>
          <w:sz w:val="19"/>
          <w:szCs w:val="19"/>
        </w:rPr>
        <w:t>Staphylococcus</w:t>
      </w:r>
      <w:r>
        <w:rPr>
          <w:rFonts w:asciiTheme="minorHAnsi" w:hAnsiTheme="minorHAnsi" w:cstheme="minorHAnsi"/>
          <w:i/>
          <w:sz w:val="19"/>
          <w:szCs w:val="19"/>
        </w:rPr>
        <w:t xml:space="preserve"> aureus </w:t>
      </w:r>
      <w:r>
        <w:rPr>
          <w:rFonts w:asciiTheme="minorHAnsi" w:hAnsiTheme="minorHAnsi" w:cstheme="minorHAnsi"/>
          <w:sz w:val="19"/>
          <w:szCs w:val="19"/>
        </w:rPr>
        <w:t>(MRSA).</w:t>
      </w:r>
    </w:p>
    <w:p>
      <w:pPr>
        <w:pStyle w:val="NormalWeb"/>
        <w:ind w:firstLine="360"/>
        <w:jc w:val="both"/>
        <w:spacing w:after="0" w:afterAutospacing="0" w:before="0" w:beforeAutospacing="0"/>
        <w:rPr>
          <w:rFonts w:asciiTheme="minorHAnsi" w:hAnsiTheme="minorHAnsi" w:cstheme="minorHAnsi"/>
          <w:sz w:val="19"/>
          <w:szCs w:val="19"/>
        </w:rPr>
      </w:pPr>
    </w:p>
    <w:p>
      <w:pPr>
        <w:pStyle w:val="NormalWeb"/>
        <w:ind w:firstLine="360"/>
        <w:jc w:val="both"/>
        <w:spacing w:after="0" w:afterAutospacing="0" w:before="0" w:beforeAutospacing="0"/>
        <w:rPr>
          <w:rFonts w:asciiTheme="minorHAnsi" w:hAnsiTheme="minorHAnsi" w:cstheme="minorHAnsi"/>
          <w:sz w:val="19"/>
          <w:szCs w:val="19"/>
        </w:rPr>
      </w:pPr>
      <w:r>
        <w:rPr>
          <w:rFonts w:asciiTheme="minorHAnsi" w:hAnsiTheme="minorHAnsi" w:cstheme="minorHAnsi"/>
          <w:i/>
          <w:sz w:val="19"/>
          <w:szCs w:val="19"/>
        </w:rPr>
        <w:t>Escherichia</w:t>
      </w:r>
      <w:r>
        <w:rPr>
          <w:rFonts w:asciiTheme="minorHAnsi" w:hAnsiTheme="minorHAnsi" w:cstheme="minorHAnsi"/>
          <w:i/>
          <w:sz w:val="19"/>
          <w:szCs w:val="19"/>
        </w:rPr>
        <w:t xml:space="preserve"> coli</w:t>
      </w:r>
      <w:r>
        <w:rPr>
          <w:rFonts w:asciiTheme="minorHAnsi" w:hAnsiTheme="minorHAnsi" w:cstheme="minorHAnsi"/>
          <w:sz w:val="19"/>
          <w:szCs w:val="19"/>
        </w:rPr>
        <w:t xml:space="preserve"> was </w:t>
      </w:r>
      <w:r>
        <w:rPr>
          <w:rFonts w:asciiTheme="minorHAnsi" w:hAnsiTheme="minorHAnsi" w:cstheme="minorHAnsi"/>
          <w:sz w:val="19"/>
          <w:szCs w:val="19"/>
        </w:rPr>
        <w:t>selec</w:t>
      </w:r>
      <w:r>
        <w:rPr>
          <w:rFonts w:asciiTheme="minorHAnsi" w:hAnsiTheme="minorHAnsi" w:cstheme="minorHAnsi"/>
          <w:sz w:val="19"/>
          <w:szCs w:val="19"/>
        </w:rPr>
        <w:t>t</w:t>
      </w:r>
      <w:r>
        <w:rPr>
          <w:rFonts w:asciiTheme="minorHAnsi" w:hAnsiTheme="minorHAnsi" w:cstheme="minorHAnsi"/>
          <w:sz w:val="19"/>
          <w:szCs w:val="19"/>
        </w:rPr>
        <w:t>ed</w:t>
      </w:r>
      <w:r>
        <w:rPr>
          <w:rFonts w:asciiTheme="minorHAnsi" w:hAnsiTheme="minorHAnsi" w:cstheme="minorHAnsi"/>
          <w:sz w:val="19"/>
          <w:szCs w:val="19"/>
        </w:rPr>
        <w:t xml:space="preserve"> as </w:t>
      </w:r>
      <w:r>
        <w:rPr>
          <w:rFonts w:asciiTheme="minorHAnsi" w:hAnsiTheme="minorHAnsi" w:cstheme="minorHAnsi"/>
          <w:sz w:val="19"/>
          <w:szCs w:val="19"/>
        </w:rPr>
        <w:t>a</w:t>
      </w:r>
      <w:r>
        <w:rPr>
          <w:rFonts w:asciiTheme="minorHAnsi" w:hAnsiTheme="minorHAnsi" w:cstheme="minorHAnsi"/>
          <w:sz w:val="19"/>
          <w:szCs w:val="19"/>
        </w:rPr>
        <w:t xml:space="preserve"> </w:t>
      </w:r>
      <w:r>
        <w:rPr>
          <w:rFonts w:asciiTheme="minorHAnsi" w:hAnsiTheme="minorHAnsi" w:cstheme="minorHAnsi"/>
          <w:sz w:val="19"/>
          <w:szCs w:val="19"/>
        </w:rPr>
        <w:t>g</w:t>
      </w:r>
      <w:r>
        <w:rPr>
          <w:rFonts w:asciiTheme="minorHAnsi" w:hAnsiTheme="minorHAnsi" w:cstheme="minorHAnsi"/>
          <w:sz w:val="19"/>
          <w:szCs w:val="19"/>
        </w:rPr>
        <w:t xml:space="preserve">ram-negative </w:t>
      </w:r>
      <w:r>
        <w:rPr>
          <w:rFonts w:asciiTheme="minorHAnsi" w:hAnsiTheme="minorHAnsi" w:cstheme="minorHAnsi"/>
          <w:sz w:val="19"/>
          <w:szCs w:val="19"/>
        </w:rPr>
        <w:t xml:space="preserve">vegetative </w:t>
      </w:r>
      <w:r>
        <w:rPr>
          <w:rFonts w:asciiTheme="minorHAnsi" w:hAnsiTheme="minorHAnsi" w:cstheme="minorHAnsi"/>
          <w:sz w:val="19"/>
          <w:szCs w:val="19"/>
        </w:rPr>
        <w:t xml:space="preserve">bacterium </w:t>
      </w:r>
      <w:r>
        <w:rPr>
          <w:rFonts w:asciiTheme="minorHAnsi" w:hAnsiTheme="minorHAnsi" w:cstheme="minorHAnsi"/>
          <w:sz w:val="19"/>
          <w:szCs w:val="19"/>
        </w:rPr>
        <w:t>for</w:t>
      </w:r>
      <w:r>
        <w:rPr>
          <w:rFonts w:asciiTheme="minorHAnsi" w:hAnsiTheme="minorHAnsi" w:cstheme="minorHAnsi"/>
          <w:sz w:val="19"/>
          <w:szCs w:val="19"/>
        </w:rPr>
        <w:t xml:space="preserve"> </w:t>
      </w:r>
      <w:r>
        <w:rPr>
          <w:rFonts w:asciiTheme="minorHAnsi" w:hAnsiTheme="minorHAnsi" w:cstheme="minorHAnsi"/>
          <w:sz w:val="19"/>
          <w:szCs w:val="19"/>
        </w:rPr>
        <w:t>this</w:t>
      </w:r>
      <w:r>
        <w:rPr>
          <w:rFonts w:asciiTheme="minorHAnsi" w:hAnsiTheme="minorHAnsi" w:cstheme="minorHAnsi"/>
          <w:sz w:val="19"/>
          <w:szCs w:val="19"/>
        </w:rPr>
        <w:t xml:space="preserve"> study. (ATCC 15597). </w:t>
      </w:r>
      <w:r>
        <w:rPr>
          <w:rFonts w:asciiTheme="minorHAnsi" w:hAnsiTheme="minorHAnsi" w:cstheme="minorHAnsi"/>
          <w:i/>
          <w:sz w:val="19"/>
          <w:szCs w:val="19"/>
        </w:rPr>
        <w:t>E.</w:t>
      </w:r>
      <w:r>
        <w:rPr>
          <w:rFonts w:asciiTheme="minorHAnsi" w:hAnsiTheme="minorHAnsi" w:cstheme="minorHAnsi"/>
          <w:i/>
          <w:sz w:val="19"/>
          <w:szCs w:val="19"/>
        </w:rPr>
        <w:t xml:space="preserve"> </w:t>
      </w:r>
      <w:r>
        <w:rPr>
          <w:rFonts w:asciiTheme="minorHAnsi" w:hAnsiTheme="minorHAnsi" w:cstheme="minorHAnsi"/>
          <w:i/>
          <w:sz w:val="19"/>
          <w:szCs w:val="19"/>
        </w:rPr>
        <w:t xml:space="preserve">coli </w:t>
      </w:r>
      <w:r>
        <w:rPr>
          <w:rFonts w:asciiTheme="minorHAnsi" w:hAnsiTheme="minorHAnsi" w:cstheme="minorHAnsi"/>
          <w:sz w:val="19"/>
          <w:szCs w:val="19"/>
        </w:rPr>
        <w:t>is a bacteri</w:t>
      </w:r>
      <w:r>
        <w:rPr>
          <w:rFonts w:asciiTheme="minorHAnsi" w:hAnsiTheme="minorHAnsi" w:cstheme="minorHAnsi"/>
          <w:sz w:val="19"/>
          <w:szCs w:val="19"/>
        </w:rPr>
        <w:t>um</w:t>
      </w:r>
      <w:r>
        <w:rPr>
          <w:rFonts w:asciiTheme="minorHAnsi" w:hAnsiTheme="minorHAnsi" w:cstheme="minorHAnsi"/>
          <w:sz w:val="19"/>
          <w:szCs w:val="19"/>
        </w:rPr>
        <w:t xml:space="preserve"> commonly used in various forms of testing as it is a common pathogen found in a multiplicity of places</w:t>
      </w:r>
      <w:r>
        <w:rPr>
          <w:rFonts w:asciiTheme="minorHAnsi" w:hAnsiTheme="minorHAnsi" w:cstheme="minorHAnsi"/>
          <w:sz w:val="19"/>
          <w:szCs w:val="19"/>
        </w:rPr>
        <w:t>,</w:t>
      </w:r>
      <w:r>
        <w:rPr>
          <w:rFonts w:asciiTheme="minorHAnsi" w:hAnsiTheme="minorHAnsi" w:cstheme="minorHAnsi"/>
          <w:sz w:val="19"/>
          <w:szCs w:val="19"/>
        </w:rPr>
        <w:t xml:space="preserve"> and </w:t>
      </w:r>
      <w:r>
        <w:rPr>
          <w:rFonts w:asciiTheme="minorHAnsi" w:hAnsiTheme="minorHAnsi" w:cstheme="minorHAnsi"/>
          <w:sz w:val="19"/>
          <w:szCs w:val="19"/>
        </w:rPr>
        <w:t xml:space="preserve">it </w:t>
      </w:r>
      <w:r>
        <w:rPr>
          <w:rFonts w:asciiTheme="minorHAnsi" w:hAnsiTheme="minorHAnsi" w:cstheme="minorHAnsi"/>
          <w:sz w:val="19"/>
          <w:szCs w:val="19"/>
        </w:rPr>
        <w:t>can survive on many surfaces</w:t>
      </w:r>
      <w:r>
        <w:rPr>
          <w:rFonts w:asciiTheme="minorHAnsi" w:hAnsiTheme="minorHAnsi" w:cstheme="minorHAnsi"/>
          <w:sz w:val="19"/>
          <w:szCs w:val="19"/>
        </w:rPr>
        <w:t>, and it may cause serious illness (potentially lethal) itself.</w:t>
      </w:r>
    </w:p>
    <w:p>
      <w:pPr>
        <w:pStyle w:val="NormalWeb"/>
        <w:ind w:firstLine="360"/>
        <w:jc w:val="both"/>
        <w:spacing w:after="0" w:afterAutospacing="0" w:before="0" w:beforeAutospacing="0"/>
        <w:rPr>
          <w:rFonts w:asciiTheme="minorHAnsi" w:hAnsiTheme="minorHAnsi" w:cstheme="minorHAnsi"/>
          <w:sz w:val="20"/>
          <w:szCs w:val="20"/>
        </w:rPr>
      </w:pPr>
    </w:p>
    <w:p>
      <w:pPr>
        <w:pStyle w:val="NormalWeb"/>
        <w:ind w:firstLine="360"/>
        <w:jc w:val="both"/>
        <w:spacing w:after="0" w:afterAutospacing="0" w:before="0" w:beforeAutospacing="0"/>
        <w:rPr>
          <w:rFonts w:asciiTheme="minorHAnsi" w:hAnsiTheme="minorHAnsi" w:cstheme="minorHAnsi"/>
          <w:sz w:val="19"/>
          <w:szCs w:val="19"/>
        </w:rPr>
      </w:pPr>
      <w:r>
        <w:rPr>
          <w:rFonts w:asciiTheme="minorHAnsi" w:hAnsiTheme="minorHAnsi" w:cstheme="minorHAnsi"/>
          <w:i/>
          <w:sz w:val="19"/>
          <w:szCs w:val="19"/>
        </w:rPr>
        <w:t xml:space="preserve">Pantoea agglomerans </w:t>
      </w:r>
      <w:r>
        <w:rPr>
          <w:rFonts w:asciiTheme="minorHAnsi" w:hAnsiTheme="minorHAnsi" w:cstheme="minorHAnsi"/>
          <w:sz w:val="19"/>
          <w:szCs w:val="19"/>
        </w:rPr>
        <w:t xml:space="preserve">was selected as a gram-negative vegetative bacterium for the study (ATCC 33261). Previously known as </w:t>
      </w:r>
      <w:r>
        <w:rPr>
          <w:rFonts w:asciiTheme="minorHAnsi" w:hAnsiTheme="minorHAnsi" w:cstheme="minorHAnsi"/>
          <w:i/>
          <w:sz w:val="19"/>
          <w:szCs w:val="19"/>
        </w:rPr>
        <w:t>Erwinia herbicola</w:t>
      </w:r>
      <w:r>
        <w:rPr>
          <w:rFonts w:asciiTheme="minorHAnsi" w:hAnsiTheme="minorHAnsi" w:cstheme="minorHAnsi"/>
          <w:sz w:val="19"/>
          <w:szCs w:val="19"/>
        </w:rPr>
        <w:t>, has served as a black plague (</w:t>
      </w:r>
      <w:r>
        <w:rPr>
          <w:rFonts w:asciiTheme="minorHAnsi" w:hAnsiTheme="minorHAnsi" w:cstheme="minorHAnsi"/>
          <w:i/>
          <w:sz w:val="19"/>
          <w:szCs w:val="19"/>
        </w:rPr>
        <w:t>Yersinia pestis)</w:t>
      </w:r>
      <w:r>
        <w:rPr>
          <w:rFonts w:asciiTheme="minorHAnsi" w:hAnsiTheme="minorHAnsi" w:cstheme="minorHAnsi"/>
          <w:sz w:val="19"/>
          <w:szCs w:val="19"/>
        </w:rPr>
        <w:t xml:space="preserve"> surrogate</w:t>
      </w:r>
      <w:r>
        <w:rPr>
          <w:rFonts w:asciiTheme="minorHAnsi" w:hAnsiTheme="minorHAnsi" w:cstheme="minorHAnsi"/>
          <w:sz w:val="19"/>
          <w:szCs w:val="19"/>
        </w:rPr>
        <w:t>. This organism is a plant pathogen that is fairly common and abundant naturally.</w:t>
      </w:r>
    </w:p>
    <w:p>
      <w:pPr>
        <w:pStyle w:val="NormalWeb"/>
        <w:ind w:firstLine="360"/>
        <w:jc w:val="both"/>
        <w:spacing w:after="0" w:afterAutospacing="0" w:before="0" w:beforeAutospacing="0"/>
        <w:rPr>
          <w:rFonts w:asciiTheme="minorHAnsi" w:hAnsiTheme="minorHAnsi" w:cstheme="minorHAnsi"/>
          <w:sz w:val="20"/>
          <w:szCs w:val="20"/>
        </w:rPr>
      </w:pPr>
    </w:p>
    <w:p>
      <w:pPr>
        <w:pStyle w:val="NormalWeb"/>
        <w:jc w:val="both"/>
        <w:spacing w:after="0" w:afterAutospacing="0" w:before="0" w:beforeAutospacing="0"/>
        <w:rPr>
          <w:rFonts w:asciiTheme="minorHAnsi" w:hAnsiTheme="minorHAnsi" w:cstheme="minorHAnsi"/>
          <w:b/>
          <w:sz w:val="20"/>
          <w:szCs w:val="20"/>
        </w:rPr>
      </w:pPr>
    </w:p>
    <w:p>
      <w:pPr>
        <w:pStyle w:val="NormalWeb"/>
        <w:jc w:val="both"/>
        <w:spacing w:after="0" w:afterAutospacing="0" w:before="0" w:beforeAutospacing="0"/>
        <w:rPr>
          <w:rFonts w:asciiTheme="minorHAnsi" w:hAnsiTheme="minorHAnsi" w:cstheme="minorHAnsi"/>
          <w:b/>
          <w:sz w:val="20"/>
          <w:szCs w:val="20"/>
        </w:rPr>
      </w:pPr>
      <w:r>
        <w:rPr>
          <w:rFonts w:asciiTheme="minorHAnsi" w:hAnsiTheme="minorHAnsi" w:cstheme="minorHAnsi"/>
          <w:b/>
          <w:sz w:val="20"/>
          <w:szCs w:val="20"/>
        </w:rPr>
        <w:t xml:space="preserve">Mold Spores and Bacterial </w:t>
      </w:r>
      <w:r>
        <w:rPr>
          <w:rFonts w:asciiTheme="minorHAnsi" w:hAnsiTheme="minorHAnsi" w:cstheme="minorHAnsi"/>
          <w:b/>
          <w:sz w:val="20"/>
          <w:szCs w:val="20"/>
        </w:rPr>
        <w:t>Endospore Challenges:</w:t>
      </w:r>
    </w:p>
    <w:p>
      <w:pPr>
        <w:pStyle w:val="NormalWeb"/>
        <w:ind w:firstLine="360"/>
        <w:jc w:val="both"/>
        <w:spacing w:after="0" w:afterAutospacing="0" w:before="0" w:beforeAutospacing="0"/>
        <w:rPr>
          <w:rFonts w:asciiTheme="minorHAnsi" w:hAnsiTheme="minorHAnsi" w:cstheme="minorHAnsi"/>
          <w:sz w:val="20"/>
          <w:szCs w:val="20"/>
        </w:rPr>
      </w:pPr>
    </w:p>
    <w:p>
      <w:pPr>
        <w:pStyle w:val="NormalWeb"/>
        <w:ind w:firstLine="360"/>
        <w:jc w:val="both"/>
        <w:spacing w:after="0" w:afterAutospacing="0" w:before="0" w:beforeAutospacing="0"/>
        <w:rPr>
          <w:rFonts w:asciiTheme="minorHAnsi" w:hAnsiTheme="minorHAnsi" w:cstheme="minorHAnsi"/>
          <w:sz w:val="19"/>
          <w:szCs w:val="19"/>
        </w:rPr>
      </w:pPr>
      <w:r>
        <w:rPr>
          <w:rFonts w:asciiTheme="minorHAnsi" w:hAnsiTheme="minorHAnsi" w:cstheme="minorHAnsi"/>
          <w:i/>
          <w:sz w:val="19"/>
          <w:szCs w:val="19"/>
        </w:rPr>
        <w:t>Aspergillus</w:t>
      </w:r>
      <w:r>
        <w:rPr>
          <w:rFonts w:asciiTheme="minorHAnsi" w:hAnsiTheme="minorHAnsi" w:cstheme="minorHAnsi"/>
          <w:i/>
          <w:sz w:val="19"/>
          <w:szCs w:val="19"/>
        </w:rPr>
        <w:t xml:space="preserve"> brasiliensis</w:t>
      </w:r>
      <w:r>
        <w:rPr>
          <w:rFonts w:asciiTheme="minorHAnsi" w:hAnsiTheme="minorHAnsi" w:cstheme="minorHAnsi"/>
          <w:sz w:val="19"/>
          <w:szCs w:val="19"/>
        </w:rPr>
        <w:t xml:space="preserve"> (ATCC 16404)</w:t>
      </w:r>
      <w:r>
        <w:rPr>
          <w:rFonts w:asciiTheme="minorHAnsi" w:hAnsiTheme="minorHAnsi" w:cstheme="minorHAnsi"/>
          <w:sz w:val="19"/>
          <w:szCs w:val="19"/>
        </w:rPr>
        <w:t>,</w:t>
      </w:r>
      <w:r>
        <w:rPr>
          <w:rFonts w:asciiTheme="minorHAnsi" w:hAnsiTheme="minorHAnsi" w:cstheme="minorHAnsi"/>
          <w:i/>
          <w:sz w:val="19"/>
          <w:szCs w:val="19"/>
        </w:rPr>
        <w:t xml:space="preserve"> </w:t>
      </w:r>
      <w:r>
        <w:rPr>
          <w:rFonts w:asciiTheme="minorHAnsi" w:hAnsiTheme="minorHAnsi" w:cstheme="minorHAnsi"/>
          <w:sz w:val="19"/>
          <w:szCs w:val="19"/>
        </w:rPr>
        <w:t xml:space="preserve">formerly known as </w:t>
      </w:r>
      <w:r>
        <w:rPr>
          <w:rFonts w:asciiTheme="minorHAnsi" w:hAnsiTheme="minorHAnsi" w:cstheme="minorHAnsi"/>
          <w:i/>
          <w:sz w:val="19"/>
          <w:szCs w:val="19"/>
        </w:rPr>
        <w:t>A.</w:t>
      </w:r>
      <w:r>
        <w:rPr>
          <w:rFonts w:asciiTheme="minorHAnsi" w:hAnsiTheme="minorHAnsi" w:cstheme="minorHAnsi"/>
          <w:i/>
          <w:sz w:val="19"/>
          <w:szCs w:val="19"/>
        </w:rPr>
        <w:t xml:space="preserve"> niger,</w:t>
      </w:r>
      <w:r>
        <w:rPr>
          <w:rFonts w:asciiTheme="minorHAnsi" w:hAnsiTheme="minorHAnsi" w:cstheme="minorHAnsi"/>
          <w:sz w:val="19"/>
          <w:szCs w:val="19"/>
        </w:rPr>
        <w:t xml:space="preserve"> is one of the most common species of the genus </w:t>
      </w:r>
      <w:r>
        <w:rPr>
          <w:rFonts w:asciiTheme="minorHAnsi" w:hAnsiTheme="minorHAnsi" w:cstheme="minorHAnsi"/>
          <w:i/>
          <w:sz w:val="19"/>
          <w:szCs w:val="19"/>
        </w:rPr>
        <w:t>Aspergillus</w:t>
      </w:r>
      <w:r>
        <w:rPr>
          <w:rFonts w:asciiTheme="minorHAnsi" w:hAnsiTheme="minorHAnsi" w:cstheme="minorHAnsi"/>
          <w:sz w:val="19"/>
          <w:szCs w:val="19"/>
        </w:rPr>
        <w:t xml:space="preserve">.  </w:t>
      </w:r>
      <w:r>
        <w:rPr>
          <w:rFonts w:asciiTheme="minorHAnsi" w:hAnsiTheme="minorHAnsi" w:cstheme="minorHAnsi"/>
          <w:i/>
          <w:sz w:val="19"/>
          <w:szCs w:val="19"/>
        </w:rPr>
        <w:t>A.</w:t>
      </w:r>
      <w:r>
        <w:rPr>
          <w:rFonts w:asciiTheme="minorHAnsi" w:hAnsiTheme="minorHAnsi" w:cstheme="minorHAnsi"/>
          <w:i/>
          <w:sz w:val="19"/>
          <w:szCs w:val="19"/>
        </w:rPr>
        <w:t xml:space="preserve"> brasiliensis</w:t>
      </w:r>
      <w:r>
        <w:rPr>
          <w:rFonts w:asciiTheme="minorHAnsi" w:hAnsiTheme="minorHAnsi" w:cstheme="minorHAnsi"/>
          <w:sz w:val="19"/>
          <w:szCs w:val="19"/>
        </w:rPr>
        <w:t xml:space="preserve"> is routinely defined as a </w:t>
      </w:r>
      <w:r>
        <w:rPr>
          <w:rFonts w:asciiTheme="minorHAnsi" w:hAnsiTheme="minorHAnsi" w:cstheme="minorHAnsi"/>
          <w:sz w:val="19"/>
          <w:szCs w:val="19"/>
        </w:rPr>
        <w:t xml:space="preserve">surrogate for various toxic </w:t>
      </w:r>
      <w:r>
        <w:rPr>
          <w:rFonts w:asciiTheme="minorHAnsi" w:hAnsiTheme="minorHAnsi" w:cstheme="minorHAnsi"/>
          <w:sz w:val="19"/>
          <w:szCs w:val="19"/>
        </w:rPr>
        <w:t>black mold</w:t>
      </w:r>
      <w:r>
        <w:rPr>
          <w:rFonts w:asciiTheme="minorHAnsi" w:hAnsiTheme="minorHAnsi" w:cstheme="minorHAnsi"/>
          <w:sz w:val="19"/>
          <w:szCs w:val="19"/>
        </w:rPr>
        <w:t xml:space="preserve"> species such as </w:t>
      </w:r>
      <w:r>
        <w:rPr>
          <w:rFonts w:asciiTheme="minorHAnsi" w:hAnsiTheme="minorHAnsi" w:cstheme="minorHAnsi"/>
          <w:i/>
          <w:sz w:val="19"/>
          <w:szCs w:val="19"/>
        </w:rPr>
        <w:t>Stachybotrys</w:t>
      </w:r>
      <w:r>
        <w:rPr>
          <w:rFonts w:asciiTheme="minorHAnsi" w:hAnsiTheme="minorHAnsi" w:cstheme="minorHAnsi"/>
          <w:sz w:val="19"/>
          <w:szCs w:val="19"/>
        </w:rPr>
        <w:t xml:space="preserve"> </w:t>
      </w:r>
      <w:r>
        <w:rPr>
          <w:rFonts w:asciiTheme="minorHAnsi" w:hAnsiTheme="minorHAnsi" w:cstheme="minorHAnsi"/>
          <w:i/>
          <w:sz w:val="19"/>
          <w:szCs w:val="19"/>
        </w:rPr>
        <w:t>c</w:t>
      </w:r>
      <w:r>
        <w:rPr>
          <w:rFonts w:asciiTheme="minorHAnsi" w:hAnsiTheme="minorHAnsi" w:cstheme="minorHAnsi"/>
          <w:i/>
          <w:sz w:val="19"/>
          <w:szCs w:val="19"/>
        </w:rPr>
        <w:t>hartarum.</w:t>
      </w:r>
      <w:r>
        <w:rPr>
          <w:rFonts w:asciiTheme="minorHAnsi" w:hAnsiTheme="minorHAnsi" w:cstheme="minorHAnsi"/>
          <w:sz w:val="19"/>
          <w:szCs w:val="19"/>
        </w:rPr>
        <w:t xml:space="preserve">  </w:t>
      </w:r>
      <w:r>
        <w:rPr>
          <w:rFonts w:asciiTheme="minorHAnsi" w:hAnsiTheme="minorHAnsi" w:cstheme="minorHAnsi"/>
          <w:sz w:val="19"/>
          <w:szCs w:val="19"/>
        </w:rPr>
        <w:t>M</w:t>
      </w:r>
      <w:r>
        <w:rPr>
          <w:rFonts w:asciiTheme="minorHAnsi" w:hAnsiTheme="minorHAnsi" w:cstheme="minorHAnsi"/>
          <w:sz w:val="19"/>
          <w:szCs w:val="19"/>
        </w:rPr>
        <w:t xml:space="preserve">any respiratory problems found in infants, </w:t>
      </w:r>
      <w:r>
        <w:rPr>
          <w:rFonts w:asciiTheme="minorHAnsi" w:hAnsiTheme="minorHAnsi" w:cstheme="minorHAnsi"/>
          <w:sz w:val="19"/>
          <w:szCs w:val="19"/>
        </w:rPr>
        <w:t xml:space="preserve">the </w:t>
      </w:r>
      <w:r>
        <w:rPr>
          <w:rFonts w:asciiTheme="minorHAnsi" w:hAnsiTheme="minorHAnsi" w:cstheme="minorHAnsi"/>
          <w:sz w:val="19"/>
          <w:szCs w:val="19"/>
        </w:rPr>
        <w:t>elderly and immunocompromised individuals</w:t>
      </w:r>
      <w:r>
        <w:rPr>
          <w:rFonts w:asciiTheme="minorHAnsi" w:hAnsiTheme="minorHAnsi" w:cstheme="minorHAnsi"/>
          <w:sz w:val="19"/>
          <w:szCs w:val="19"/>
        </w:rPr>
        <w:t xml:space="preserve"> are attributed to mold</w:t>
      </w:r>
      <w:r>
        <w:rPr>
          <w:rFonts w:asciiTheme="minorHAnsi" w:hAnsiTheme="minorHAnsi" w:cstheme="minorHAnsi"/>
          <w:sz w:val="19"/>
          <w:szCs w:val="19"/>
        </w:rPr>
        <w:t xml:space="preserve">. Purified </w:t>
      </w:r>
      <w:r>
        <w:rPr>
          <w:rFonts w:asciiTheme="minorHAnsi" w:hAnsiTheme="minorHAnsi" w:cstheme="minorHAnsi"/>
          <w:i/>
          <w:sz w:val="19"/>
          <w:szCs w:val="19"/>
        </w:rPr>
        <w:t>A.</w:t>
      </w:r>
      <w:r>
        <w:rPr>
          <w:rFonts w:asciiTheme="minorHAnsi" w:hAnsiTheme="minorHAnsi" w:cstheme="minorHAnsi"/>
          <w:i/>
          <w:sz w:val="19"/>
          <w:szCs w:val="19"/>
        </w:rPr>
        <w:t xml:space="preserve"> brasiliensis</w:t>
      </w:r>
      <w:r>
        <w:rPr>
          <w:rFonts w:asciiTheme="minorHAnsi" w:hAnsiTheme="minorHAnsi" w:cstheme="minorHAnsi"/>
          <w:sz w:val="19"/>
          <w:szCs w:val="19"/>
        </w:rPr>
        <w:t xml:space="preserve"> spores were </w:t>
      </w:r>
      <w:r>
        <w:rPr>
          <w:rFonts w:asciiTheme="minorHAnsi" w:hAnsiTheme="minorHAnsi" w:cstheme="minorHAnsi"/>
          <w:sz w:val="19"/>
          <w:szCs w:val="19"/>
        </w:rPr>
        <w:t>used</w:t>
      </w:r>
      <w:r>
        <w:rPr>
          <w:rFonts w:asciiTheme="minorHAnsi" w:hAnsiTheme="minorHAnsi" w:cstheme="minorHAnsi"/>
          <w:sz w:val="19"/>
          <w:szCs w:val="19"/>
        </w:rPr>
        <w:t xml:space="preserve"> in bulk</w:t>
      </w:r>
      <w:r>
        <w:rPr>
          <w:rFonts w:asciiTheme="minorHAnsi" w:hAnsiTheme="minorHAnsi" w:cstheme="minorHAnsi"/>
          <w:sz w:val="19"/>
          <w:szCs w:val="19"/>
        </w:rPr>
        <w:t>,</w:t>
      </w:r>
      <w:r>
        <w:rPr>
          <w:rFonts w:asciiTheme="minorHAnsi" w:hAnsiTheme="minorHAnsi" w:cstheme="minorHAnsi"/>
          <w:sz w:val="19"/>
          <w:szCs w:val="19"/>
        </w:rPr>
        <w:t xml:space="preserve"> dry powder </w:t>
      </w:r>
      <w:r>
        <w:rPr>
          <w:rFonts w:asciiTheme="minorHAnsi" w:hAnsiTheme="minorHAnsi" w:cstheme="minorHAnsi"/>
          <w:sz w:val="19"/>
          <w:szCs w:val="19"/>
        </w:rPr>
        <w:t xml:space="preserve">form </w:t>
      </w:r>
      <w:r>
        <w:rPr>
          <w:rFonts w:asciiTheme="minorHAnsi" w:hAnsiTheme="minorHAnsi" w:cstheme="minorHAnsi"/>
          <w:sz w:val="19"/>
          <w:szCs w:val="19"/>
        </w:rPr>
        <w:t>with an approximate concentration of 1 x 10</w:t>
      </w:r>
      <w:r>
        <w:rPr>
          <w:rFonts w:asciiTheme="minorHAnsi" w:hAnsiTheme="minorHAnsi" w:cstheme="minorHAnsi"/>
          <w:sz w:val="19"/>
          <w:szCs w:val="19"/>
          <w:vertAlign w:val="superscript"/>
        </w:rPr>
        <w:t>9</w:t>
      </w:r>
      <w:r>
        <w:rPr>
          <w:rFonts w:asciiTheme="minorHAnsi" w:hAnsiTheme="minorHAnsi" w:cstheme="minorHAnsi"/>
          <w:sz w:val="19"/>
          <w:szCs w:val="19"/>
        </w:rPr>
        <w:t xml:space="preserve"> cfu/gram.</w:t>
      </w:r>
    </w:p>
    <w:p>
      <w:pPr>
        <w:pStyle w:val="NormalWeb"/>
        <w:ind w:firstLine="360"/>
        <w:jc w:val="both"/>
        <w:spacing w:after="0" w:afterAutospacing="0" w:before="0" w:beforeAutospacing="0"/>
        <w:rPr>
          <w:rFonts w:asciiTheme="minorHAnsi" w:hAnsiTheme="minorHAnsi" w:cstheme="minorHAnsi"/>
          <w:sz w:val="19"/>
          <w:szCs w:val="19"/>
        </w:rPr>
      </w:pPr>
    </w:p>
    <w:p>
      <w:pPr>
        <w:pStyle w:val="NormalWeb"/>
        <w:ind w:firstLine="360"/>
        <w:jc w:val="both"/>
        <w:spacing w:after="0" w:afterAutospacing="0" w:before="0" w:beforeAutospacing="0"/>
        <w:rPr>
          <w:rFonts w:asciiTheme="minorHAnsi" w:hAnsiTheme="minorHAnsi" w:cstheme="minorHAnsi"/>
          <w:sz w:val="19"/>
          <w:szCs w:val="19"/>
        </w:rPr>
      </w:pPr>
      <w:r>
        <w:rPr>
          <w:rFonts w:asciiTheme="minorHAnsi" w:hAnsiTheme="minorHAnsi" w:cstheme="minorHAnsi"/>
          <w:i/>
          <w:sz w:val="19"/>
          <w:szCs w:val="19"/>
        </w:rPr>
        <w:t>Bacillus</w:t>
      </w:r>
      <w:r>
        <w:rPr>
          <w:rFonts w:asciiTheme="minorHAnsi" w:hAnsiTheme="minorHAnsi" w:cstheme="minorHAnsi"/>
          <w:i/>
          <w:sz w:val="19"/>
          <w:szCs w:val="19"/>
        </w:rPr>
        <w:t xml:space="preserve"> </w:t>
      </w:r>
      <w:r>
        <w:rPr>
          <w:rFonts w:asciiTheme="minorHAnsi" w:hAnsiTheme="minorHAnsi" w:cstheme="minorHAnsi"/>
          <w:i/>
          <w:sz w:val="19"/>
          <w:szCs w:val="19"/>
        </w:rPr>
        <w:t>subtilis</w:t>
      </w:r>
      <w:r>
        <w:rPr>
          <w:rFonts w:asciiTheme="minorHAnsi" w:hAnsiTheme="minorHAnsi" w:cstheme="minorHAnsi"/>
          <w:i/>
          <w:sz w:val="19"/>
          <w:szCs w:val="19"/>
        </w:rPr>
        <w:t xml:space="preserve"> </w:t>
      </w:r>
      <w:r>
        <w:rPr>
          <w:rFonts w:asciiTheme="minorHAnsi" w:hAnsiTheme="minorHAnsi" w:cstheme="minorHAnsi"/>
          <w:sz w:val="19"/>
          <w:szCs w:val="19"/>
        </w:rPr>
        <w:t xml:space="preserve">(ATCC </w:t>
      </w:r>
      <w:r>
        <w:rPr>
          <w:rFonts w:asciiTheme="minorHAnsi" w:hAnsiTheme="minorHAnsi" w:cstheme="minorHAnsi"/>
          <w:sz w:val="19"/>
          <w:szCs w:val="19"/>
        </w:rPr>
        <w:t>49760</w:t>
      </w:r>
      <w:r>
        <w:rPr>
          <w:rFonts w:asciiTheme="minorHAnsi" w:hAnsiTheme="minorHAnsi" w:cstheme="minorHAnsi"/>
          <w:sz w:val="19"/>
          <w:szCs w:val="19"/>
        </w:rPr>
        <w:t>)</w:t>
      </w:r>
      <w:r>
        <w:rPr>
          <w:rFonts w:asciiTheme="minorHAnsi" w:hAnsiTheme="minorHAnsi" w:cstheme="minorHAnsi"/>
          <w:i/>
          <w:sz w:val="19"/>
          <w:szCs w:val="19"/>
        </w:rPr>
        <w:t>,</w:t>
      </w:r>
      <w:r>
        <w:rPr>
          <w:rFonts w:asciiTheme="minorHAnsi" w:hAnsiTheme="minorHAnsi" w:cstheme="minorHAnsi"/>
          <w:sz w:val="19"/>
          <w:szCs w:val="19"/>
        </w:rPr>
        <w:t xml:space="preserve"> </w:t>
      </w:r>
      <w:r>
        <w:rPr>
          <w:rFonts w:asciiTheme="minorHAnsi" w:hAnsiTheme="minorHAnsi" w:cstheme="minorHAnsi"/>
          <w:sz w:val="19"/>
          <w:szCs w:val="19"/>
        </w:rPr>
        <w:t>endo</w:t>
      </w:r>
      <w:r>
        <w:rPr>
          <w:rFonts w:asciiTheme="minorHAnsi" w:hAnsiTheme="minorHAnsi" w:cstheme="minorHAnsi"/>
          <w:sz w:val="19"/>
          <w:szCs w:val="19"/>
        </w:rPr>
        <w:t xml:space="preserve">spores were used as a surrogate for </w:t>
      </w:r>
      <w:r>
        <w:rPr>
          <w:rFonts w:asciiTheme="minorHAnsi" w:hAnsiTheme="minorHAnsi" w:cstheme="minorHAnsi"/>
          <w:i/>
          <w:sz w:val="19"/>
          <w:szCs w:val="19"/>
        </w:rPr>
        <w:t>Bacillus anthracis</w:t>
      </w:r>
      <w:r>
        <w:rPr>
          <w:rFonts w:asciiTheme="minorHAnsi" w:hAnsiTheme="minorHAnsi" w:cstheme="minorHAnsi"/>
          <w:sz w:val="19"/>
          <w:szCs w:val="19"/>
        </w:rPr>
        <w:t xml:space="preserve"> (Anthrax), a biological agent used for bioterrorism/</w:t>
      </w:r>
      <w:r>
        <w:rPr>
          <w:rFonts w:asciiTheme="minorHAnsi" w:hAnsiTheme="minorHAnsi" w:cstheme="minorHAnsi"/>
          <w:sz w:val="19"/>
          <w:szCs w:val="19"/>
        </w:rPr>
        <w:t>bio warfare</w:t>
      </w:r>
      <w:r>
        <w:rPr>
          <w:rFonts w:asciiTheme="minorHAnsi" w:hAnsiTheme="minorHAnsi" w:cstheme="minorHAnsi"/>
          <w:sz w:val="19"/>
          <w:szCs w:val="19"/>
        </w:rPr>
        <w:t xml:space="preserve"> research</w:t>
      </w:r>
      <w:r>
        <w:rPr>
          <w:rFonts w:asciiTheme="minorHAnsi" w:hAnsiTheme="minorHAnsi" w:cstheme="minorHAnsi"/>
          <w:sz w:val="19"/>
          <w:szCs w:val="19"/>
        </w:rPr>
        <w:t>. It</w:t>
      </w:r>
      <w:r>
        <w:rPr>
          <w:rFonts w:asciiTheme="minorHAnsi" w:hAnsiTheme="minorHAnsi" w:cstheme="minorHAnsi"/>
          <w:sz w:val="19"/>
          <w:szCs w:val="19"/>
        </w:rPr>
        <w:t xml:space="preserve"> also serves as a surrogate for other pathogenic </w:t>
      </w:r>
      <w:r>
        <w:rPr>
          <w:rFonts w:asciiTheme="minorHAnsi" w:hAnsiTheme="minorHAnsi" w:cstheme="minorHAnsi"/>
          <w:sz w:val="19"/>
          <w:szCs w:val="19"/>
        </w:rPr>
        <w:t>endo</w:t>
      </w:r>
      <w:r>
        <w:rPr>
          <w:rFonts w:asciiTheme="minorHAnsi" w:hAnsiTheme="minorHAnsi" w:cstheme="minorHAnsi"/>
          <w:sz w:val="19"/>
          <w:szCs w:val="19"/>
        </w:rPr>
        <w:t>spore</w:t>
      </w:r>
      <w:r>
        <w:rPr>
          <w:rFonts w:asciiTheme="minorHAnsi" w:hAnsiTheme="minorHAnsi" w:cstheme="minorHAnsi"/>
          <w:sz w:val="19"/>
          <w:szCs w:val="19"/>
        </w:rPr>
        <w:t xml:space="preserve"> forming</w:t>
      </w:r>
      <w:r>
        <w:rPr>
          <w:rFonts w:asciiTheme="minorHAnsi" w:hAnsiTheme="minorHAnsi" w:cstheme="minorHAnsi"/>
          <w:sz w:val="19"/>
          <w:szCs w:val="19"/>
        </w:rPr>
        <w:t xml:space="preserve"> species such as </w:t>
      </w:r>
      <w:r>
        <w:rPr>
          <w:rFonts w:asciiTheme="minorHAnsi" w:hAnsiTheme="minorHAnsi" w:cstheme="minorHAnsi"/>
          <w:i/>
          <w:sz w:val="19"/>
          <w:szCs w:val="19"/>
        </w:rPr>
        <w:t>Clostridioides difficile</w:t>
      </w:r>
      <w:r>
        <w:rPr>
          <w:rFonts w:asciiTheme="minorHAnsi" w:hAnsiTheme="minorHAnsi" w:cstheme="minorHAnsi"/>
          <w:sz w:val="19"/>
          <w:szCs w:val="19"/>
        </w:rPr>
        <w:t>, a common and difficult to eliminate hospital pathogen.</w:t>
      </w:r>
      <w:r>
        <w:rPr>
          <w:rFonts w:asciiTheme="minorHAnsi" w:hAnsiTheme="minorHAnsi" w:cstheme="minorHAnsi"/>
          <w:sz w:val="19"/>
          <w:szCs w:val="19"/>
        </w:rPr>
        <w:t xml:space="preserve">   </w:t>
      </w:r>
      <w:r>
        <w:rPr>
          <w:rFonts w:asciiTheme="minorHAnsi" w:hAnsiTheme="minorHAnsi" w:cstheme="minorHAnsi"/>
          <w:i/>
          <w:sz w:val="19"/>
          <w:szCs w:val="19"/>
        </w:rPr>
        <w:t>Bacillus</w:t>
      </w:r>
      <w:r>
        <w:rPr>
          <w:rFonts w:asciiTheme="minorHAnsi" w:hAnsiTheme="minorHAnsi" w:cstheme="minorHAnsi"/>
          <w:i/>
          <w:sz w:val="19"/>
          <w:szCs w:val="19"/>
        </w:rPr>
        <w:t xml:space="preserve"> </w:t>
      </w:r>
      <w:r>
        <w:rPr>
          <w:rFonts w:asciiTheme="minorHAnsi" w:hAnsiTheme="minorHAnsi" w:cstheme="minorHAnsi"/>
          <w:i/>
          <w:sz w:val="19"/>
          <w:szCs w:val="19"/>
        </w:rPr>
        <w:t>subtilis</w:t>
      </w:r>
      <w:r>
        <w:rPr>
          <w:rFonts w:asciiTheme="minorHAnsi" w:hAnsiTheme="minorHAnsi" w:cstheme="minorHAnsi"/>
          <w:sz w:val="19"/>
          <w:szCs w:val="19"/>
        </w:rPr>
        <w:t>, a sub-</w:t>
      </w:r>
      <w:r>
        <w:rPr>
          <w:rFonts w:asciiTheme="minorHAnsi" w:hAnsiTheme="minorHAnsi" w:cstheme="minorHAnsi"/>
          <w:sz w:val="19"/>
          <w:szCs w:val="19"/>
        </w:rPr>
        <w:t xml:space="preserve">species of </w:t>
      </w:r>
      <w:r>
        <w:rPr>
          <w:rFonts w:asciiTheme="minorHAnsi" w:hAnsiTheme="minorHAnsi" w:cstheme="minorHAnsi"/>
          <w:i/>
          <w:sz w:val="19"/>
          <w:szCs w:val="19"/>
        </w:rPr>
        <w:t>Bacillus</w:t>
      </w:r>
      <w:r>
        <w:rPr>
          <w:rFonts w:asciiTheme="minorHAnsi" w:hAnsiTheme="minorHAnsi" w:cstheme="minorHAnsi"/>
          <w:i/>
          <w:sz w:val="19"/>
          <w:szCs w:val="19"/>
        </w:rPr>
        <w:t xml:space="preserve"> atrophaeus,</w:t>
      </w:r>
      <w:r>
        <w:rPr>
          <w:rFonts w:asciiTheme="minorHAnsi" w:hAnsiTheme="minorHAnsi" w:cstheme="minorHAnsi"/>
          <w:sz w:val="19"/>
          <w:szCs w:val="19"/>
        </w:rPr>
        <w:t xml:space="preserve"> is a </w:t>
      </w:r>
      <w:r>
        <w:rPr>
          <w:rFonts w:asciiTheme="minorHAnsi" w:hAnsiTheme="minorHAnsi" w:cstheme="minorHAnsi"/>
          <w:sz w:val="19"/>
          <w:szCs w:val="19"/>
        </w:rPr>
        <w:t>g</w:t>
      </w:r>
      <w:r>
        <w:rPr>
          <w:rFonts w:asciiTheme="minorHAnsi" w:hAnsiTheme="minorHAnsi" w:cstheme="minorHAnsi"/>
          <w:sz w:val="19"/>
          <w:szCs w:val="19"/>
        </w:rPr>
        <w:t xml:space="preserve">ram-positive bacterium found in soil and </w:t>
      </w:r>
      <w:r>
        <w:rPr>
          <w:rFonts w:asciiTheme="minorHAnsi" w:hAnsiTheme="minorHAnsi" w:cstheme="minorHAnsi"/>
          <w:sz w:val="19"/>
          <w:szCs w:val="19"/>
        </w:rPr>
        <w:t xml:space="preserve">in </w:t>
      </w:r>
      <w:r>
        <w:rPr>
          <w:rFonts w:asciiTheme="minorHAnsi" w:hAnsiTheme="minorHAnsi" w:cstheme="minorHAnsi"/>
          <w:sz w:val="19"/>
          <w:szCs w:val="19"/>
        </w:rPr>
        <w:t>the gastrointestinal tract of ruminants and humans.  B.</w:t>
      </w:r>
      <w:r>
        <w:rPr>
          <w:rFonts w:asciiTheme="minorHAnsi" w:hAnsiTheme="minorHAnsi" w:cstheme="minorHAnsi"/>
          <w:i/>
          <w:sz w:val="19"/>
          <w:szCs w:val="19"/>
        </w:rPr>
        <w:t xml:space="preserve"> </w:t>
      </w:r>
      <w:r>
        <w:rPr>
          <w:rFonts w:asciiTheme="minorHAnsi" w:hAnsiTheme="minorHAnsi" w:cstheme="minorHAnsi"/>
          <w:i/>
          <w:sz w:val="19"/>
          <w:szCs w:val="19"/>
        </w:rPr>
        <w:t>subtilis</w:t>
      </w:r>
      <w:r>
        <w:rPr>
          <w:rFonts w:asciiTheme="minorHAnsi" w:hAnsiTheme="minorHAnsi" w:cstheme="minorHAnsi"/>
          <w:sz w:val="19"/>
          <w:szCs w:val="19"/>
        </w:rPr>
        <w:t xml:space="preserve"> is rod-shaped, and </w:t>
      </w:r>
      <w:r>
        <w:rPr>
          <w:rFonts w:asciiTheme="minorHAnsi" w:hAnsiTheme="minorHAnsi" w:cstheme="minorHAnsi"/>
          <w:sz w:val="19"/>
          <w:szCs w:val="19"/>
        </w:rPr>
        <w:t>f</w:t>
      </w:r>
      <w:r>
        <w:rPr>
          <w:rFonts w:asciiTheme="minorHAnsi" w:hAnsiTheme="minorHAnsi" w:cstheme="minorHAnsi"/>
          <w:sz w:val="19"/>
          <w:szCs w:val="19"/>
        </w:rPr>
        <w:t>orm</w:t>
      </w:r>
      <w:r>
        <w:rPr>
          <w:rFonts w:asciiTheme="minorHAnsi" w:hAnsiTheme="minorHAnsi" w:cstheme="minorHAnsi"/>
          <w:sz w:val="19"/>
          <w:szCs w:val="19"/>
        </w:rPr>
        <w:t>s</w:t>
      </w:r>
      <w:r>
        <w:rPr>
          <w:rFonts w:asciiTheme="minorHAnsi" w:hAnsiTheme="minorHAnsi" w:cstheme="minorHAnsi"/>
          <w:sz w:val="19"/>
          <w:szCs w:val="19"/>
        </w:rPr>
        <w:t xml:space="preserve"> a tough, </w:t>
      </w:r>
      <w:r>
        <w:rPr>
          <w:rFonts w:asciiTheme="minorHAnsi" w:hAnsiTheme="minorHAnsi" w:cstheme="minorHAnsi"/>
          <w:sz w:val="19"/>
          <w:szCs w:val="19"/>
        </w:rPr>
        <w:t xml:space="preserve">highly resistant </w:t>
      </w:r>
      <w:r>
        <w:rPr>
          <w:rFonts w:asciiTheme="minorHAnsi" w:hAnsiTheme="minorHAnsi" w:cstheme="minorHAnsi"/>
          <w:sz w:val="19"/>
          <w:szCs w:val="19"/>
        </w:rPr>
        <w:t>endospore, which allows it to tolerate extreme environmental conditions.</w:t>
      </w:r>
    </w:p>
    <w:p>
      <w:pPr>
        <w:pStyle w:val="NormalWeb"/>
        <w:ind w:firstLine="360"/>
        <w:jc w:val="both"/>
        <w:spacing w:after="0" w:afterAutospacing="0" w:before="0" w:beforeAutospacing="0"/>
        <w:rPr>
          <w:rFonts w:asciiTheme="minorHAnsi" w:hAnsiTheme="minorHAnsi" w:cstheme="minorHAnsi"/>
          <w:sz w:val="19"/>
          <w:szCs w:val="19"/>
        </w:rPr>
      </w:pPr>
    </w:p>
    <w:p>
      <w:pPr>
        <w:pStyle w:val="NormalWeb"/>
        <w:jc w:val="both"/>
        <w:spacing w:after="0" w:afterAutospacing="0" w:before="0" w:beforeAutospacing="0"/>
        <w:rPr>
          <w:rFonts w:asciiTheme="minorHAnsi" w:hAnsiTheme="minorHAnsi" w:cstheme="minorHAnsi"/>
          <w:sz w:val="20"/>
          <w:szCs w:val="20"/>
        </w:rPr>
      </w:pPr>
    </w:p>
    <w:p>
      <w:pPr>
        <w:jc w:val="center"/>
        <w:rPr>
          <w:rFonts w:asciiTheme="minorHAnsi" w:hAnsiTheme="minorHAnsi" w:cstheme="minorHAnsi"/>
          <w:i/>
          <w:sz w:val="20"/>
          <w:szCs w:val="20"/>
        </w:rPr>
      </w:pPr>
      <w:r>
        <w:rPr>
          <w:rFonts w:asciiTheme="minorHAnsi" w:hAnsiTheme="minorHAnsi" w:cstheme="minorHAnsi"/>
          <w:i/>
          <w:noProof/>
          <w:sz w:val="20"/>
          <w:szCs w:val="20"/>
        </w:rPr>
        <w:drawing>
          <wp:inline distT="0" distB="0" distL="0" distR="0">
            <wp:extent cx="3082712" cy="2237375"/>
            <wp:effectExtent l="0" t="0" r="0" b="0"/>
            <wp:docPr id="1037" name="shape1037"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11">
                      <a:extLst>
                        <a:ext uri="{28A0092B-C50C-407E-A947-70E740481C1C}">
                          <a14:useLocalDpi xmlns:a14="http://schemas.microsoft.com/office/drawing/2010/main" val="0"/>
                        </a:ext>
                      </a:extLst>
                    </a:blip>
                    <a:srcRect/>
                    <a:stretch>
                      <a:fillRect/>
                    </a:stretch>
                  </pic:blipFill>
                  <pic:spPr>
                    <a:xfrm>
                      <a:off x="0" y="0"/>
                      <a:ext cx="3082712" cy="2237375"/>
                    </a:xfrm>
                    <a:prstGeom prst="rect"/>
                    <a:noFill/>
                  </pic:spPr>
                </pic:pic>
              </a:graphicData>
            </a:graphic>
          </wp:inline>
        </w:drawing>
      </w:r>
    </w:p>
    <w:p>
      <w:pPr>
        <w:ind w:firstLine="360"/>
        <w:jc w:val="both"/>
        <w:rPr>
          <w:rFonts w:ascii="Garamond" w:hAnsi="Garamond" w:cstheme="minorHAnsi"/>
          <w:sz w:val="18"/>
          <w:szCs w:val="18"/>
        </w:rPr>
      </w:pPr>
      <w:r>
        <w:rPr>
          <w:rFonts w:ascii="Garamond" w:hAnsi="Garamond" w:cstheme="minorHAnsi"/>
          <w:b/>
          <w:color w:val="0070C0"/>
          <w:sz w:val="18"/>
          <w:szCs w:val="18"/>
        </w:rPr>
        <w:t>Figure 8:</w:t>
      </w:r>
      <w:r>
        <w:rPr>
          <w:rFonts w:ascii="Garamond" w:hAnsi="Garamond" w:cstheme="minorHAnsi"/>
          <w:color w:val="0070C0"/>
          <w:sz w:val="18"/>
          <w:szCs w:val="18"/>
        </w:rPr>
        <w:t xml:space="preserve"> </w:t>
      </w:r>
      <w:r>
        <w:rPr>
          <w:rFonts w:ascii="Garamond" w:hAnsi="Garamond" w:cstheme="minorHAnsi"/>
          <w:sz w:val="18"/>
          <w:szCs w:val="18"/>
        </w:rPr>
        <w:t xml:space="preserve">Aerodynamic Particle Size Distribution of RNA </w:t>
      </w:r>
      <w:r>
        <w:rPr>
          <w:rFonts w:ascii="Garamond" w:hAnsi="Garamond" w:cstheme="minorHAnsi"/>
          <w:sz w:val="18"/>
          <w:szCs w:val="18"/>
        </w:rPr>
        <w:t>v</w:t>
      </w:r>
      <w:r>
        <w:rPr>
          <w:rFonts w:ascii="Garamond" w:hAnsi="Garamond" w:cstheme="minorHAnsi"/>
          <w:sz w:val="18"/>
          <w:szCs w:val="18"/>
        </w:rPr>
        <w:t xml:space="preserve">irus MS2 and DNA virus </w:t>
      </w:r>
      <w:r>
        <w:rPr>
          <w:rFonts w:ascii="Garamond" w:hAnsi="Garamond" w:cstheme="minorHAnsi"/>
          <w:sz w:val="18"/>
          <w:szCs w:val="18"/>
        </w:rPr>
        <w:t>P</w:t>
      </w:r>
      <w:r>
        <w:rPr>
          <w:rFonts w:ascii="Garamond" w:hAnsi="Garamond" w:cstheme="minorHAnsi"/>
          <w:sz w:val="18"/>
          <w:szCs w:val="18"/>
        </w:rPr>
        <w:t>hiX</w:t>
      </w:r>
      <w:r>
        <w:rPr>
          <w:rFonts w:ascii="Garamond" w:hAnsi="Garamond" w:cstheme="minorHAnsi"/>
          <w:sz w:val="18"/>
          <w:szCs w:val="18"/>
        </w:rPr>
        <w:t xml:space="preserve"> </w:t>
      </w:r>
      <w:r>
        <w:rPr>
          <w:rFonts w:ascii="Garamond" w:hAnsi="Garamond" w:cstheme="minorHAnsi"/>
          <w:sz w:val="18"/>
          <w:szCs w:val="18"/>
        </w:rPr>
        <w:t xml:space="preserve">174 in the </w:t>
      </w:r>
      <w:r>
        <w:rPr>
          <w:rFonts w:ascii="Garamond" w:hAnsi="Garamond" w:cstheme="minorHAnsi"/>
          <w:sz w:val="18"/>
          <w:szCs w:val="18"/>
        </w:rPr>
        <w:t>t</w:t>
      </w:r>
      <w:r>
        <w:rPr>
          <w:rFonts w:ascii="Garamond" w:hAnsi="Garamond" w:cstheme="minorHAnsi"/>
          <w:sz w:val="18"/>
          <w:szCs w:val="18"/>
        </w:rPr>
        <w:t xml:space="preserve">est </w:t>
      </w:r>
      <w:r>
        <w:rPr>
          <w:rFonts w:ascii="Garamond" w:hAnsi="Garamond" w:cstheme="minorHAnsi"/>
          <w:sz w:val="18"/>
          <w:szCs w:val="18"/>
        </w:rPr>
        <w:t>c</w:t>
      </w:r>
      <w:r>
        <w:rPr>
          <w:rFonts w:ascii="Garamond" w:hAnsi="Garamond" w:cstheme="minorHAnsi"/>
          <w:sz w:val="18"/>
          <w:szCs w:val="18"/>
        </w:rPr>
        <w:t xml:space="preserve">hamber.  MMAD for both </w:t>
      </w:r>
      <w:r>
        <w:rPr>
          <w:rFonts w:ascii="Garamond" w:hAnsi="Garamond" w:cstheme="minorHAnsi"/>
          <w:sz w:val="18"/>
          <w:szCs w:val="18"/>
        </w:rPr>
        <w:t>v</w:t>
      </w:r>
      <w:r>
        <w:rPr>
          <w:rFonts w:ascii="Garamond" w:hAnsi="Garamond" w:cstheme="minorHAnsi"/>
          <w:sz w:val="18"/>
          <w:szCs w:val="18"/>
        </w:rPr>
        <w:t>iral species average</w:t>
      </w:r>
      <w:r>
        <w:rPr>
          <w:rFonts w:ascii="Garamond" w:hAnsi="Garamond" w:cstheme="minorHAnsi"/>
          <w:sz w:val="18"/>
          <w:szCs w:val="18"/>
        </w:rPr>
        <w:t>d</w:t>
      </w:r>
      <w:r>
        <w:rPr>
          <w:rFonts w:ascii="Garamond" w:hAnsi="Garamond" w:cstheme="minorHAnsi"/>
          <w:sz w:val="18"/>
          <w:szCs w:val="18"/>
        </w:rPr>
        <w:t xml:space="preserve"> approximately 0.7 µm.</w:t>
      </w:r>
    </w:p>
    <w:p>
      <w:pPr>
        <w:ind w:firstLine="360"/>
        <w:jc w:val="both"/>
        <w:rPr>
          <w:rFonts w:ascii="Garamond" w:hAnsi="Garamond" w:cstheme="minorHAnsi"/>
          <w:sz w:val="18"/>
          <w:szCs w:val="18"/>
        </w:rPr>
      </w:pPr>
    </w:p>
    <w:p>
      <w:pPr>
        <w:pStyle w:val="NormalWeb"/>
        <w:jc w:val="both"/>
        <w:spacing w:after="0" w:afterAutospacing="0" w:before="0" w:beforeAutospacing="0"/>
        <w:rPr>
          <w:rFonts w:asciiTheme="minorHAnsi" w:hAnsiTheme="minorHAnsi" w:cstheme="minorHAnsi"/>
          <w:b/>
          <w:sz w:val="20"/>
          <w:szCs w:val="20"/>
        </w:rPr>
      </w:pPr>
    </w:p>
    <w:p>
      <w:pPr>
        <w:pStyle w:val="NormalWeb"/>
        <w:jc w:val="both"/>
        <w:spacing w:after="0" w:afterAutospacing="0" w:before="0" w:beforeAutospacing="0"/>
        <w:rPr>
          <w:rFonts w:asciiTheme="minorHAnsi" w:hAnsiTheme="minorHAnsi" w:cstheme="minorHAnsi"/>
          <w:b/>
          <w:sz w:val="20"/>
          <w:szCs w:val="20"/>
        </w:rPr>
      </w:pPr>
      <w:r>
        <w:rPr>
          <w:rFonts w:asciiTheme="minorHAnsi" w:hAnsiTheme="minorHAnsi" w:cstheme="minorHAnsi"/>
          <w:b/>
          <w:sz w:val="20"/>
          <w:szCs w:val="20"/>
        </w:rPr>
        <w:t>Bioaerosol Challenge Particle Size</w:t>
      </w:r>
      <w:r>
        <w:rPr>
          <w:rFonts w:asciiTheme="minorHAnsi" w:hAnsiTheme="minorHAnsi" w:cstheme="minorHAnsi"/>
          <w:b/>
          <w:sz w:val="20"/>
          <w:szCs w:val="20"/>
        </w:rPr>
        <w:t xml:space="preserve"> Testing</w:t>
      </w:r>
    </w:p>
    <w:p>
      <w:pPr>
        <w:ind w:firstLine="360"/>
        <w:jc w:val="both"/>
        <w:rPr>
          <w:rFonts w:ascii="Garamond" w:hAnsi="Garamond" w:cstheme="minorHAnsi"/>
          <w:sz w:val="18"/>
          <w:szCs w:val="18"/>
        </w:rPr>
      </w:pPr>
    </w:p>
    <w:p>
      <w:pPr>
        <w:ind w:firstLine="360"/>
        <w:jc w:val="both"/>
        <w:rPr>
          <w:rFonts w:asciiTheme="minorHAnsi" w:hAnsiTheme="minorHAnsi" w:cstheme="minorHAnsi"/>
          <w:sz w:val="19"/>
          <w:szCs w:val="19"/>
        </w:rPr>
      </w:pPr>
      <w:r>
        <w:rPr>
          <w:rFonts w:asciiTheme="minorHAnsi" w:hAnsiTheme="minorHAnsi" w:cstheme="minorHAnsi"/>
          <w:sz w:val="19"/>
          <w:szCs w:val="19"/>
        </w:rPr>
        <w:t>Bioa</w:t>
      </w:r>
      <w:r>
        <w:rPr>
          <w:rFonts w:asciiTheme="minorHAnsi" w:hAnsiTheme="minorHAnsi" w:cstheme="minorHAnsi"/>
          <w:sz w:val="19"/>
          <w:szCs w:val="19"/>
        </w:rPr>
        <w:t>erosol</w:t>
      </w:r>
      <w:r>
        <w:rPr>
          <w:rFonts w:asciiTheme="minorHAnsi" w:hAnsiTheme="minorHAnsi" w:cstheme="minorHAnsi"/>
          <w:sz w:val="19"/>
          <w:szCs w:val="19"/>
        </w:rPr>
        <w:t xml:space="preserve"> challenge</w:t>
      </w:r>
      <w:r>
        <w:rPr>
          <w:rFonts w:asciiTheme="minorHAnsi" w:hAnsiTheme="minorHAnsi" w:cstheme="minorHAnsi"/>
          <w:sz w:val="19"/>
          <w:szCs w:val="19"/>
        </w:rPr>
        <w:t xml:space="preserve"> particle size distributions were measured with </w:t>
      </w:r>
      <w:r>
        <w:rPr>
          <w:rFonts w:asciiTheme="minorHAnsi" w:hAnsiTheme="minorHAnsi" w:cstheme="minorHAnsi"/>
          <w:sz w:val="19"/>
          <w:szCs w:val="19"/>
        </w:rPr>
        <w:t>a</w:t>
      </w:r>
      <w:r>
        <w:rPr>
          <w:rFonts w:asciiTheme="minorHAnsi" w:hAnsiTheme="minorHAnsi" w:cstheme="minorHAnsi"/>
          <w:sz w:val="19"/>
          <w:szCs w:val="19"/>
        </w:rPr>
        <w:t xml:space="preserve"> </w:t>
      </w:r>
      <w:r>
        <w:rPr>
          <w:rFonts w:asciiTheme="minorHAnsi" w:hAnsiTheme="minorHAnsi" w:cstheme="minorHAnsi"/>
          <w:sz w:val="19"/>
          <w:szCs w:val="19"/>
        </w:rPr>
        <w:t xml:space="preserve">TSI </w:t>
      </w:r>
      <w:r>
        <w:rPr>
          <w:rFonts w:asciiTheme="minorHAnsi" w:hAnsiTheme="minorHAnsi" w:cstheme="minorHAnsi"/>
          <w:sz w:val="19"/>
          <w:szCs w:val="19"/>
        </w:rPr>
        <w:t>A</w:t>
      </w:r>
      <w:r>
        <w:rPr>
          <w:rFonts w:asciiTheme="minorHAnsi" w:hAnsiTheme="minorHAnsi" w:cstheme="minorHAnsi"/>
          <w:sz w:val="19"/>
          <w:szCs w:val="19"/>
        </w:rPr>
        <w:t>erodynamic Particle Sizer model 3321 (A</w:t>
      </w:r>
      <w:r>
        <w:rPr>
          <w:rFonts w:asciiTheme="minorHAnsi" w:hAnsiTheme="minorHAnsi" w:cstheme="minorHAnsi"/>
          <w:sz w:val="19"/>
          <w:szCs w:val="19"/>
        </w:rPr>
        <w:t>PS</w:t>
      </w:r>
      <w:r>
        <w:rPr>
          <w:rFonts w:asciiTheme="minorHAnsi" w:hAnsiTheme="minorHAnsi" w:cstheme="minorHAnsi"/>
          <w:sz w:val="19"/>
          <w:szCs w:val="19"/>
        </w:rPr>
        <w:t>) for all challenge species.  The particle size distribution was taken shortly after aerosolization for each species via sampling through a sample probe into the test chamber</w:t>
      </w:r>
      <w:r>
        <w:rPr>
          <w:rFonts w:asciiTheme="minorHAnsi" w:hAnsiTheme="minorHAnsi" w:cstheme="minorHAnsi"/>
          <w:sz w:val="19"/>
          <w:szCs w:val="19"/>
        </w:rPr>
        <w:t>.   The APS has a dynamic measurement range of 0.5</w:t>
      </w:r>
      <w:r>
        <w:rPr>
          <w:rFonts w:asciiTheme="minorHAnsi" w:hAnsiTheme="minorHAnsi" w:cstheme="minorHAnsi"/>
          <w:sz w:val="19"/>
          <w:szCs w:val="19"/>
        </w:rPr>
        <w:t>4</w:t>
      </w:r>
      <w:r>
        <w:rPr>
          <w:rFonts w:asciiTheme="minorHAnsi" w:hAnsiTheme="minorHAnsi" w:cstheme="minorHAnsi"/>
          <w:sz w:val="19"/>
          <w:szCs w:val="19"/>
        </w:rPr>
        <w:t xml:space="preserve"> to 20</w:t>
      </w:r>
      <w:r>
        <w:rPr>
          <w:rFonts w:asciiTheme="minorHAnsi" w:hAnsiTheme="minorHAnsi" w:cstheme="minorHAnsi"/>
          <w:sz w:val="19"/>
          <w:szCs w:val="19"/>
        </w:rPr>
        <w:t xml:space="preserve">.0 </w:t>
      </w:r>
      <w:r>
        <w:rPr>
          <w:rFonts w:asciiTheme="minorHAnsi" w:hAnsiTheme="minorHAnsi" w:cstheme="minorHAnsi"/>
          <w:sz w:val="19"/>
          <w:szCs w:val="19"/>
        </w:rPr>
        <w:t>μm and was prog</w:t>
      </w:r>
      <w:r>
        <w:rPr>
          <w:rFonts w:asciiTheme="minorHAnsi" w:hAnsiTheme="minorHAnsi" w:cstheme="minorHAnsi"/>
          <w:sz w:val="19"/>
          <w:szCs w:val="19"/>
        </w:rPr>
        <w:t xml:space="preserve">rammed to take consecutive real-time one-minute aerosol samples. Data </w:t>
      </w:r>
      <w:r>
        <w:rPr>
          <w:rFonts w:asciiTheme="minorHAnsi" w:hAnsiTheme="minorHAnsi" w:cstheme="minorHAnsi"/>
          <w:sz w:val="19"/>
          <w:szCs w:val="19"/>
        </w:rPr>
        <w:t>was</w:t>
      </w:r>
      <w:r>
        <w:rPr>
          <w:rFonts w:asciiTheme="minorHAnsi" w:hAnsiTheme="minorHAnsi" w:cstheme="minorHAnsi"/>
          <w:sz w:val="19"/>
          <w:szCs w:val="19"/>
        </w:rPr>
        <w:t xml:space="preserve"> logged in real-</w:t>
      </w:r>
      <w:r>
        <w:rPr>
          <w:rFonts w:asciiTheme="minorHAnsi" w:hAnsiTheme="minorHAnsi" w:cstheme="minorHAnsi"/>
          <w:sz w:val="19"/>
          <w:szCs w:val="19"/>
        </w:rPr>
        <w:t xml:space="preserve">time to an Acer laptop computer, regressed, and plotted.  </w:t>
      </w:r>
    </w:p>
    <w:p>
      <w:pPr>
        <w:ind w:firstLine="360"/>
        <w:jc w:val="both"/>
        <w:rPr>
          <w:rFonts w:asciiTheme="minorHAnsi" w:hAnsiTheme="minorHAnsi" w:cstheme="minorHAnsi"/>
          <w:sz w:val="19"/>
          <w:szCs w:val="19"/>
        </w:rPr>
      </w:pPr>
    </w:p>
    <w:p>
      <w:pPr>
        <w:jc w:val="center"/>
        <w:rPr>
          <w:rFonts w:asciiTheme="minorHAnsi" w:hAnsiTheme="minorHAnsi" w:cstheme="minorHAnsi"/>
          <w:b/>
          <w:i/>
          <w:sz w:val="20"/>
          <w:szCs w:val="20"/>
        </w:rPr>
      </w:pPr>
      <w:r>
        <w:rPr>
          <w:rFonts w:asciiTheme="minorHAnsi" w:hAnsiTheme="minorHAnsi" w:cstheme="minorHAnsi"/>
          <w:b/>
          <w:i/>
          <w:noProof/>
          <w:sz w:val="20"/>
          <w:szCs w:val="20"/>
        </w:rPr>
        <w:drawing>
          <wp:inline distT="0" distB="0" distL="0" distR="0">
            <wp:extent cx="2776232" cy="1889381"/>
            <wp:effectExtent l="0" t="0" r="0" b="0"/>
            <wp:docPr id="1038" name="shape1038"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pic:cNvPicPr>
                  </pic:nvPicPr>
                  <pic:blipFill>
                    <a:blip r:embed="rId12">
                      <a:extLst>
                        <a:ext uri="{28A0092B-C50C-407E-A947-70E740481C1C}">
                          <a14:useLocalDpi xmlns:a14="http://schemas.microsoft.com/office/drawing/2010/main" val="0"/>
                        </a:ext>
                      </a:extLst>
                    </a:blip>
                    <a:srcRect/>
                    <a:stretch>
                      <a:fillRect/>
                    </a:stretch>
                  </pic:blipFill>
                  <pic:spPr>
                    <a:xfrm>
                      <a:off x="0" y="0"/>
                      <a:ext cx="2776232" cy="1889381"/>
                    </a:xfrm>
                    <a:prstGeom prst="rect"/>
                  </pic:spPr>
                </pic:pic>
              </a:graphicData>
            </a:graphic>
          </wp:inline>
        </w:drawing>
      </w:r>
    </w:p>
    <w:p>
      <w:pPr>
        <w:pStyle w:val="NormalWeb"/>
        <w:jc w:val="both"/>
        <w:spacing w:after="0" w:afterAutospacing="0" w:before="0" w:beforeAutospacing="0"/>
        <w:rPr>
          <w:rFonts w:asciiTheme="minorHAnsi" w:hAnsiTheme="minorHAnsi" w:cstheme="minorHAnsi"/>
          <w:sz w:val="19"/>
          <w:szCs w:val="19"/>
        </w:rPr>
      </w:pPr>
      <w:r>
        <w:rPr>
          <w:rFonts w:ascii="Garamond" w:hAnsi="Garamond" w:cstheme="minorHAnsi"/>
          <w:b/>
          <w:color w:val="0070C0"/>
          <w:sz w:val="18"/>
          <w:szCs w:val="18"/>
        </w:rPr>
        <w:t>Figure 9</w:t>
      </w:r>
      <w:r>
        <w:rPr>
          <w:rFonts w:ascii="Garamond" w:hAnsi="Garamond" w:cstheme="minorHAnsi"/>
          <w:b/>
          <w:color w:val="0070C0"/>
          <w:sz w:val="18"/>
          <w:szCs w:val="18"/>
        </w:rPr>
        <w:t>:</w:t>
      </w:r>
      <w:r>
        <w:rPr>
          <w:rFonts w:ascii="Garamond" w:hAnsi="Garamond" w:cstheme="minorHAnsi"/>
          <w:color w:val="0070C0"/>
          <w:sz w:val="18"/>
          <w:szCs w:val="18"/>
        </w:rPr>
        <w:t xml:space="preserve"> </w:t>
      </w:r>
      <w:r>
        <w:rPr>
          <w:rFonts w:ascii="Garamond" w:hAnsi="Garamond" w:cstheme="minorHAnsi"/>
          <w:sz w:val="18"/>
          <w:szCs w:val="18"/>
        </w:rPr>
        <w:t xml:space="preserve">Aerodynamic Particle Size Distribution of </w:t>
      </w:r>
      <w:r>
        <w:rPr>
          <w:rFonts w:ascii="Garamond" w:hAnsi="Garamond" w:cstheme="minorHAnsi"/>
          <w:i/>
          <w:sz w:val="18"/>
          <w:szCs w:val="18"/>
        </w:rPr>
        <w:t>P</w:t>
      </w:r>
      <w:r>
        <w:rPr>
          <w:rFonts w:ascii="Garamond" w:hAnsi="Garamond" w:cstheme="minorHAnsi"/>
          <w:i/>
          <w:sz w:val="18"/>
          <w:szCs w:val="18"/>
        </w:rPr>
        <w:t xml:space="preserve">. </w:t>
      </w:r>
      <w:r>
        <w:rPr>
          <w:rFonts w:ascii="Garamond" w:hAnsi="Garamond" w:cstheme="minorHAnsi"/>
          <w:i/>
          <w:sz w:val="18"/>
          <w:szCs w:val="18"/>
        </w:rPr>
        <w:t>agglomerans</w:t>
      </w:r>
      <w:r>
        <w:rPr>
          <w:rFonts w:ascii="Garamond" w:hAnsi="Garamond" w:cstheme="minorHAnsi"/>
          <w:sz w:val="18"/>
          <w:szCs w:val="18"/>
        </w:rPr>
        <w:t xml:space="preserve"> in the </w:t>
      </w:r>
      <w:r>
        <w:rPr>
          <w:rFonts w:ascii="Garamond" w:hAnsi="Garamond" w:cstheme="minorHAnsi"/>
          <w:sz w:val="18"/>
          <w:szCs w:val="18"/>
        </w:rPr>
        <w:t>t</w:t>
      </w:r>
      <w:r>
        <w:rPr>
          <w:rFonts w:ascii="Garamond" w:hAnsi="Garamond" w:cstheme="minorHAnsi"/>
          <w:sz w:val="18"/>
          <w:szCs w:val="18"/>
        </w:rPr>
        <w:t xml:space="preserve">est </w:t>
      </w:r>
      <w:r>
        <w:rPr>
          <w:rFonts w:ascii="Garamond" w:hAnsi="Garamond" w:cstheme="minorHAnsi"/>
          <w:sz w:val="18"/>
          <w:szCs w:val="18"/>
        </w:rPr>
        <w:t>c</w:t>
      </w:r>
      <w:r>
        <w:rPr>
          <w:rFonts w:ascii="Garamond" w:hAnsi="Garamond" w:cstheme="minorHAnsi"/>
          <w:sz w:val="18"/>
          <w:szCs w:val="18"/>
        </w:rPr>
        <w:t xml:space="preserve">hamber. MMAD for each species </w:t>
      </w:r>
      <w:r>
        <w:rPr>
          <w:rFonts w:ascii="Garamond" w:hAnsi="Garamond" w:cstheme="minorHAnsi"/>
          <w:sz w:val="18"/>
          <w:szCs w:val="18"/>
        </w:rPr>
        <w:t>was</w:t>
      </w:r>
      <w:r>
        <w:rPr>
          <w:rFonts w:ascii="Garamond" w:hAnsi="Garamond" w:cstheme="minorHAnsi"/>
          <w:sz w:val="18"/>
          <w:szCs w:val="18"/>
        </w:rPr>
        <w:t xml:space="preserve"> approximately </w:t>
      </w:r>
      <w:r>
        <w:rPr>
          <w:rFonts w:ascii="Garamond" w:hAnsi="Garamond" w:cstheme="minorHAnsi"/>
          <w:sz w:val="18"/>
          <w:szCs w:val="18"/>
        </w:rPr>
        <w:t xml:space="preserve">1-3 </w:t>
      </w:r>
      <w:r>
        <w:rPr>
          <w:rFonts w:ascii="Garamond" w:hAnsi="Garamond" w:cstheme="minorHAnsi"/>
          <w:sz w:val="18"/>
          <w:szCs w:val="18"/>
        </w:rPr>
        <w:t>µm.</w:t>
      </w:r>
    </w:p>
    <w:p>
      <w:pPr>
        <w:ind w:firstLine="360"/>
        <w:jc w:val="both"/>
        <w:rPr>
          <w:rFonts w:asciiTheme="minorHAnsi" w:hAnsiTheme="minorHAnsi" w:cstheme="minorHAnsi"/>
          <w:sz w:val="19"/>
          <w:szCs w:val="19"/>
        </w:rPr>
      </w:pPr>
    </w:p>
    <w:p>
      <w:pPr>
        <w:jc w:val="center"/>
        <w:rPr>
          <w:rFonts w:asciiTheme="minorHAnsi" w:hAnsiTheme="minorHAnsi" w:cstheme="minorHAnsi"/>
          <w:i/>
          <w:sz w:val="20"/>
          <w:szCs w:val="20"/>
        </w:rPr>
      </w:pPr>
      <w:r>
        <w:rPr>
          <w:rFonts w:asciiTheme="minorHAnsi" w:hAnsiTheme="minorHAnsi" w:cstheme="minorHAnsi"/>
          <w:i/>
          <w:noProof/>
          <w:sz w:val="20"/>
          <w:szCs w:val="20"/>
        </w:rPr>
        <w:drawing>
          <wp:inline distT="0" distB="0" distL="0" distR="0">
            <wp:extent cx="2566377" cy="1865739"/>
            <wp:effectExtent l="0" t="0" r="0" b="0"/>
            <wp:docPr id="1039" name="shape1039"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13">
                      <a:extLst>
                        <a:ext uri="{28A0092B-C50C-407E-A947-70E740481C1C}">
                          <a14:useLocalDpi xmlns:a14="http://schemas.microsoft.com/office/drawing/2010/main" val="0"/>
                        </a:ext>
                      </a:extLst>
                    </a:blip>
                    <a:srcRect/>
                    <a:stretch>
                      <a:fillRect/>
                    </a:stretch>
                  </pic:blipFill>
                  <pic:spPr>
                    <a:xfrm>
                      <a:off x="0" y="0"/>
                      <a:ext cx="2566377" cy="1865739"/>
                    </a:xfrm>
                    <a:prstGeom prst="rect"/>
                    <a:noFill/>
                  </pic:spPr>
                </pic:pic>
              </a:graphicData>
            </a:graphic>
          </wp:inline>
        </w:drawing>
      </w:r>
    </w:p>
    <w:p>
      <w:pPr>
        <w:pStyle w:val="NormalWeb"/>
        <w:jc w:val="both"/>
        <w:spacing w:after="0" w:afterAutospacing="0" w:before="0" w:beforeAutospacing="0"/>
        <w:rPr>
          <w:rFonts w:ascii="Garamond" w:hAnsi="Garamond" w:cstheme="minorHAnsi"/>
          <w:sz w:val="18"/>
          <w:szCs w:val="18"/>
        </w:rPr>
      </w:pPr>
      <w:r>
        <w:rPr>
          <w:rFonts w:ascii="Garamond" w:hAnsi="Garamond" w:cstheme="minorHAnsi"/>
          <w:b/>
          <w:color w:val="0070C0"/>
          <w:sz w:val="18"/>
          <w:szCs w:val="18"/>
        </w:rPr>
        <w:t>Figure 10</w:t>
      </w:r>
      <w:r>
        <w:rPr>
          <w:rFonts w:ascii="Garamond" w:hAnsi="Garamond" w:cstheme="minorHAnsi"/>
          <w:b/>
          <w:color w:val="0070C0"/>
          <w:sz w:val="18"/>
          <w:szCs w:val="18"/>
        </w:rPr>
        <w:t>:</w:t>
      </w:r>
      <w:r>
        <w:rPr>
          <w:rFonts w:ascii="Garamond" w:hAnsi="Garamond" w:cstheme="minorHAnsi"/>
          <w:color w:val="0070C0"/>
          <w:sz w:val="18"/>
          <w:szCs w:val="18"/>
        </w:rPr>
        <w:t xml:space="preserve"> </w:t>
      </w:r>
      <w:r>
        <w:rPr>
          <w:rFonts w:ascii="Garamond" w:hAnsi="Garamond" w:cstheme="minorHAnsi"/>
          <w:sz w:val="18"/>
          <w:szCs w:val="18"/>
        </w:rPr>
        <w:t xml:space="preserve">Aerodynamic Particle Size Distribution of </w:t>
      </w:r>
      <w:r>
        <w:rPr>
          <w:rFonts w:ascii="Garamond" w:hAnsi="Garamond" w:cstheme="minorHAnsi"/>
          <w:i/>
          <w:sz w:val="18"/>
          <w:szCs w:val="18"/>
        </w:rPr>
        <w:t>P</w:t>
      </w:r>
      <w:r>
        <w:rPr>
          <w:rFonts w:ascii="Garamond" w:hAnsi="Garamond" w:cstheme="minorHAnsi"/>
          <w:i/>
          <w:sz w:val="18"/>
          <w:szCs w:val="18"/>
        </w:rPr>
        <w:t xml:space="preserve">. </w:t>
      </w:r>
      <w:r>
        <w:rPr>
          <w:rFonts w:ascii="Garamond" w:hAnsi="Garamond" w:cstheme="minorHAnsi"/>
          <w:i/>
          <w:sz w:val="18"/>
          <w:szCs w:val="18"/>
        </w:rPr>
        <w:t>agglomerans</w:t>
      </w:r>
      <w:r>
        <w:rPr>
          <w:rFonts w:ascii="Garamond" w:hAnsi="Garamond" w:cstheme="minorHAnsi"/>
          <w:sz w:val="18"/>
          <w:szCs w:val="18"/>
        </w:rPr>
        <w:t xml:space="preserve"> in the </w:t>
      </w:r>
      <w:r>
        <w:rPr>
          <w:rFonts w:ascii="Garamond" w:hAnsi="Garamond" w:cstheme="minorHAnsi"/>
          <w:sz w:val="18"/>
          <w:szCs w:val="18"/>
        </w:rPr>
        <w:t>t</w:t>
      </w:r>
      <w:r>
        <w:rPr>
          <w:rFonts w:ascii="Garamond" w:hAnsi="Garamond" w:cstheme="minorHAnsi"/>
          <w:sz w:val="18"/>
          <w:szCs w:val="18"/>
        </w:rPr>
        <w:t xml:space="preserve">est </w:t>
      </w:r>
      <w:r>
        <w:rPr>
          <w:rFonts w:ascii="Garamond" w:hAnsi="Garamond" w:cstheme="minorHAnsi"/>
          <w:sz w:val="18"/>
          <w:szCs w:val="18"/>
        </w:rPr>
        <w:t>c</w:t>
      </w:r>
      <w:r>
        <w:rPr>
          <w:rFonts w:ascii="Garamond" w:hAnsi="Garamond" w:cstheme="minorHAnsi"/>
          <w:sz w:val="18"/>
          <w:szCs w:val="18"/>
        </w:rPr>
        <w:t xml:space="preserve">hamber. MMAD for each species </w:t>
      </w:r>
      <w:r>
        <w:rPr>
          <w:rFonts w:ascii="Garamond" w:hAnsi="Garamond" w:cstheme="minorHAnsi"/>
          <w:sz w:val="18"/>
          <w:szCs w:val="18"/>
        </w:rPr>
        <w:t>was</w:t>
      </w:r>
      <w:r>
        <w:rPr>
          <w:rFonts w:ascii="Garamond" w:hAnsi="Garamond" w:cstheme="minorHAnsi"/>
          <w:sz w:val="18"/>
          <w:szCs w:val="18"/>
        </w:rPr>
        <w:t xml:space="preserve"> approximately </w:t>
      </w:r>
      <w:r>
        <w:rPr>
          <w:rFonts w:ascii="Garamond" w:hAnsi="Garamond" w:cstheme="minorHAnsi"/>
          <w:sz w:val="18"/>
          <w:szCs w:val="18"/>
        </w:rPr>
        <w:t xml:space="preserve">1-3 </w:t>
      </w:r>
      <w:r>
        <w:rPr>
          <w:rFonts w:ascii="Garamond" w:hAnsi="Garamond" w:cstheme="minorHAnsi"/>
          <w:sz w:val="18"/>
          <w:szCs w:val="18"/>
        </w:rPr>
        <w:t>µm.</w:t>
      </w:r>
    </w:p>
    <w:p>
      <w:pPr>
        <w:pStyle w:val="NormalWeb"/>
        <w:jc w:val="both"/>
        <w:spacing w:after="0" w:afterAutospacing="0" w:before="0" w:beforeAutospacing="0"/>
        <w:rPr>
          <w:rFonts w:asciiTheme="minorHAnsi" w:hAnsiTheme="minorHAnsi" w:cstheme="minorHAnsi"/>
          <w:sz w:val="19"/>
          <w:szCs w:val="19"/>
        </w:rPr>
      </w:pPr>
    </w:p>
    <w:p>
      <w:pPr>
        <w:ind w:firstLine="360"/>
        <w:jc w:val="both"/>
        <w:rPr>
          <w:rFonts w:asciiTheme="minorHAnsi" w:hAnsiTheme="minorHAnsi" w:cstheme="minorHAnsi"/>
          <w:sz w:val="19"/>
          <w:szCs w:val="19"/>
        </w:rPr>
      </w:pPr>
      <w:r>
        <w:rPr>
          <w:rFonts w:asciiTheme="minorHAnsi" w:hAnsiTheme="minorHAnsi" w:cstheme="minorHAnsi"/>
          <w:sz w:val="19"/>
          <w:szCs w:val="19"/>
        </w:rPr>
        <w:t xml:space="preserve">The </w:t>
      </w:r>
      <w:r>
        <w:rPr>
          <w:rFonts w:asciiTheme="minorHAnsi" w:hAnsiTheme="minorHAnsi" w:cstheme="minorHAnsi"/>
          <w:sz w:val="19"/>
          <w:szCs w:val="19"/>
        </w:rPr>
        <w:t xml:space="preserve">aerodynamic </w:t>
      </w:r>
      <w:r>
        <w:rPr>
          <w:rFonts w:asciiTheme="minorHAnsi" w:hAnsiTheme="minorHAnsi" w:cstheme="minorHAnsi"/>
          <w:sz w:val="19"/>
          <w:szCs w:val="19"/>
        </w:rPr>
        <w:t>particle size distribution for</w:t>
      </w:r>
      <w:r>
        <w:rPr>
          <w:rFonts w:asciiTheme="minorHAnsi" w:hAnsiTheme="minorHAnsi" w:cstheme="minorHAnsi"/>
          <w:sz w:val="19"/>
          <w:szCs w:val="19"/>
        </w:rPr>
        <w:t xml:space="preserve"> all challenge bioaerosols </w:t>
      </w:r>
      <w:r>
        <w:rPr>
          <w:rFonts w:asciiTheme="minorHAnsi" w:hAnsiTheme="minorHAnsi" w:cstheme="minorHAnsi"/>
          <w:sz w:val="19"/>
          <w:szCs w:val="19"/>
        </w:rPr>
        <w:t xml:space="preserve">are shown to be within the respirable range for </w:t>
      </w:r>
      <w:r>
        <w:rPr>
          <w:rFonts w:asciiTheme="minorHAnsi" w:hAnsiTheme="minorHAnsi" w:cstheme="minorHAnsi"/>
          <w:sz w:val="19"/>
          <w:szCs w:val="19"/>
        </w:rPr>
        <w:t xml:space="preserve">regional alveolar </w:t>
      </w:r>
      <w:r>
        <w:rPr>
          <w:rFonts w:asciiTheme="minorHAnsi" w:hAnsiTheme="minorHAnsi" w:cstheme="minorHAnsi"/>
          <w:sz w:val="19"/>
          <w:szCs w:val="19"/>
        </w:rPr>
        <w:t>tract deposition and show a low geo</w:t>
      </w:r>
      <w:r>
        <w:rPr>
          <w:rFonts w:asciiTheme="minorHAnsi" w:hAnsiTheme="minorHAnsi" w:cstheme="minorHAnsi"/>
          <w:sz w:val="19"/>
          <w:szCs w:val="19"/>
        </w:rPr>
        <w:t xml:space="preserve">metric standard deviation (GSD), </w:t>
      </w:r>
      <w:r>
        <w:rPr>
          <w:rFonts w:asciiTheme="minorHAnsi" w:hAnsiTheme="minorHAnsi" w:cstheme="minorHAnsi"/>
          <w:sz w:val="19"/>
          <w:szCs w:val="19"/>
        </w:rPr>
        <w:t xml:space="preserve">indicating </w:t>
      </w:r>
      <w:r>
        <w:rPr>
          <w:rFonts w:asciiTheme="minorHAnsi" w:hAnsiTheme="minorHAnsi" w:cstheme="minorHAnsi"/>
          <w:sz w:val="19"/>
          <w:szCs w:val="19"/>
        </w:rPr>
        <w:t xml:space="preserve">that </w:t>
      </w:r>
      <w:r>
        <w:rPr>
          <w:rFonts w:asciiTheme="minorHAnsi" w:hAnsiTheme="minorHAnsi" w:cstheme="minorHAnsi"/>
          <w:sz w:val="19"/>
          <w:szCs w:val="19"/>
        </w:rPr>
        <w:t xml:space="preserve">a monodispersed aerosol was generated </w:t>
      </w:r>
      <w:r>
        <w:rPr>
          <w:rFonts w:asciiTheme="minorHAnsi" w:hAnsiTheme="minorHAnsi" w:cstheme="minorHAnsi"/>
          <w:sz w:val="19"/>
          <w:szCs w:val="19"/>
        </w:rPr>
        <w:t>in the chamber for each of the challenge species.</w:t>
      </w:r>
      <w:r>
        <w:rPr>
          <w:rFonts w:asciiTheme="minorHAnsi" w:hAnsiTheme="minorHAnsi" w:cstheme="minorHAnsi"/>
          <w:sz w:val="19"/>
          <w:szCs w:val="19"/>
        </w:rPr>
        <w:t xml:space="preserve"> </w:t>
      </w:r>
      <w:r>
        <w:rPr>
          <w:rFonts w:asciiTheme="minorHAnsi" w:hAnsiTheme="minorHAnsi" w:cstheme="minorHAnsi"/>
          <w:sz w:val="19"/>
          <w:szCs w:val="19"/>
        </w:rPr>
        <w:t xml:space="preserve">The aerodynamic particle size distributions for MS2 and Phi X174 can be found in </w:t>
      </w:r>
      <w:r>
        <w:rPr>
          <w:rFonts w:asciiTheme="minorHAnsi" w:hAnsiTheme="minorHAnsi" w:cstheme="minorHAnsi"/>
          <w:b/>
          <w:color w:val="0070C0"/>
          <w:sz w:val="19"/>
          <w:szCs w:val="19"/>
        </w:rPr>
        <w:t xml:space="preserve">Figure </w:t>
      </w:r>
      <w:r>
        <w:rPr>
          <w:rFonts w:asciiTheme="minorHAnsi" w:hAnsiTheme="minorHAnsi" w:cstheme="minorHAnsi"/>
          <w:b/>
          <w:color w:val="0070C0"/>
          <w:sz w:val="19"/>
          <w:szCs w:val="19"/>
        </w:rPr>
        <w:t>8</w:t>
      </w:r>
      <w:r>
        <w:rPr>
          <w:rFonts w:asciiTheme="minorHAnsi" w:hAnsiTheme="minorHAnsi" w:cstheme="minorHAnsi"/>
          <w:b/>
          <w:sz w:val="19"/>
          <w:szCs w:val="19"/>
        </w:rPr>
        <w:t xml:space="preserve">, </w:t>
      </w:r>
      <w:r>
        <w:rPr>
          <w:rFonts w:asciiTheme="minorHAnsi" w:hAnsiTheme="minorHAnsi" w:cstheme="minorHAnsi"/>
          <w:sz w:val="19"/>
          <w:szCs w:val="19"/>
        </w:rPr>
        <w:t xml:space="preserve">shown </w:t>
      </w:r>
      <w:r>
        <w:rPr>
          <w:rFonts w:asciiTheme="minorHAnsi" w:hAnsiTheme="minorHAnsi" w:cstheme="minorHAnsi"/>
          <w:sz w:val="19"/>
          <w:szCs w:val="19"/>
        </w:rPr>
        <w:t>above</w:t>
      </w:r>
      <w:r>
        <w:rPr>
          <w:rFonts w:asciiTheme="minorHAnsi" w:hAnsiTheme="minorHAnsi" w:cstheme="minorHAnsi"/>
          <w:sz w:val="19"/>
          <w:szCs w:val="19"/>
        </w:rPr>
        <w:t>.</w:t>
      </w:r>
    </w:p>
    <w:p>
      <w:pPr>
        <w:jc w:val="center"/>
        <w:rPr>
          <w:rFonts w:asciiTheme="minorHAnsi" w:hAnsiTheme="minorHAnsi" w:cstheme="minorHAnsi"/>
          <w:b/>
          <w:i/>
          <w:sz w:val="20"/>
          <w:szCs w:val="20"/>
        </w:rPr>
      </w:pPr>
    </w:p>
    <w:p>
      <w:pPr>
        <w:jc w:val="center"/>
        <w:rPr>
          <w:rFonts w:asciiTheme="minorHAnsi" w:hAnsiTheme="minorHAnsi" w:cstheme="minorHAnsi"/>
          <w:b/>
          <w:i/>
          <w:sz w:val="20"/>
          <w:szCs w:val="20"/>
        </w:rPr>
      </w:pPr>
      <w:r>
        <w:rPr>
          <w:rFonts w:asciiTheme="minorHAnsi" w:hAnsiTheme="minorHAnsi" w:cstheme="minorHAnsi"/>
          <w:noProof/>
          <w:sz w:val="20"/>
          <w:szCs w:val="20"/>
        </w:rPr>
        <w:drawing>
          <wp:inline distT="0" distB="0" distL="0" distR="0">
            <wp:extent cx="2743200" cy="1854015"/>
            <wp:effectExtent l="0" t="0" r="0" b="0"/>
            <wp:docPr id="1040" name="shape1040"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14">
                      <a:extLst>
                        <a:ext uri="{28A0092B-C50C-407E-A947-70E740481C1C}">
                          <a14:useLocalDpi xmlns:a14="http://schemas.microsoft.com/office/drawing/2010/main" val="0"/>
                        </a:ext>
                      </a:extLst>
                    </a:blip>
                    <a:srcRect t="3170" b="2096"/>
                    <a:stretch>
                      <a:fillRect/>
                    </a:stretch>
                  </pic:blipFill>
                  <pic:spPr>
                    <a:xfrm>
                      <a:off x="0" y="0"/>
                      <a:ext cx="2743200" cy="1854015"/>
                    </a:xfrm>
                    <a:prstGeom prst="rect"/>
                    <a:noFill/>
                    <a:ln>
                      <a:noFill/>
                    </a:ln>
                  </pic:spPr>
                </pic:pic>
              </a:graphicData>
            </a:graphic>
          </wp:inline>
        </w:drawing>
      </w:r>
    </w:p>
    <w:p>
      <w:pPr>
        <w:pStyle w:val="NormalWeb"/>
        <w:jc w:val="both"/>
        <w:spacing w:after="0" w:afterAutospacing="0" w:before="0" w:beforeAutospacing="0"/>
        <w:rPr>
          <w:rFonts w:asciiTheme="minorHAnsi" w:hAnsiTheme="minorHAnsi" w:cstheme="minorHAnsi"/>
          <w:sz w:val="19"/>
          <w:szCs w:val="19"/>
        </w:rPr>
      </w:pPr>
      <w:r>
        <w:rPr>
          <w:rFonts w:ascii="Garamond" w:hAnsi="Garamond" w:cstheme="minorHAnsi"/>
          <w:b/>
          <w:color w:val="0070C0"/>
          <w:sz w:val="18"/>
          <w:szCs w:val="18"/>
        </w:rPr>
        <w:t xml:space="preserve">Figure </w:t>
      </w:r>
      <w:r>
        <w:rPr>
          <w:rFonts w:ascii="Garamond" w:hAnsi="Garamond" w:cstheme="minorHAnsi"/>
          <w:b/>
          <w:color w:val="0070C0"/>
          <w:sz w:val="18"/>
          <w:szCs w:val="18"/>
        </w:rPr>
        <w:t>11</w:t>
      </w:r>
      <w:r>
        <w:rPr>
          <w:rFonts w:ascii="Garamond" w:hAnsi="Garamond" w:cstheme="minorHAnsi"/>
          <w:b/>
          <w:color w:val="0070C0"/>
          <w:sz w:val="18"/>
          <w:szCs w:val="18"/>
        </w:rPr>
        <w:t>:</w:t>
      </w:r>
      <w:r>
        <w:rPr>
          <w:rFonts w:ascii="Garamond" w:hAnsi="Garamond" w:cstheme="minorHAnsi"/>
          <w:color w:val="0070C0"/>
          <w:sz w:val="18"/>
          <w:szCs w:val="18"/>
        </w:rPr>
        <w:t xml:space="preserve"> </w:t>
      </w:r>
      <w:r>
        <w:rPr>
          <w:rFonts w:ascii="Garamond" w:hAnsi="Garamond" w:cstheme="minorHAnsi"/>
          <w:sz w:val="18"/>
          <w:szCs w:val="18"/>
        </w:rPr>
        <w:t xml:space="preserve">Aerodynamic Particle Size Distribution of </w:t>
      </w:r>
      <w:r>
        <w:rPr>
          <w:rFonts w:ascii="Garamond" w:hAnsi="Garamond" w:cstheme="minorHAnsi"/>
          <w:i/>
          <w:sz w:val="18"/>
          <w:szCs w:val="18"/>
        </w:rPr>
        <w:t>S. epiderm</w:t>
      </w:r>
      <w:r>
        <w:rPr>
          <w:rFonts w:ascii="Garamond" w:hAnsi="Garamond" w:cstheme="minorHAnsi"/>
          <w:i/>
          <w:sz w:val="18"/>
          <w:szCs w:val="18"/>
        </w:rPr>
        <w:t>id</w:t>
      </w:r>
      <w:r>
        <w:rPr>
          <w:rFonts w:ascii="Garamond" w:hAnsi="Garamond" w:cstheme="minorHAnsi"/>
          <w:i/>
          <w:sz w:val="18"/>
          <w:szCs w:val="18"/>
        </w:rPr>
        <w:t>is</w:t>
      </w:r>
      <w:r>
        <w:rPr>
          <w:rFonts w:ascii="Garamond" w:hAnsi="Garamond" w:cstheme="minorHAnsi"/>
          <w:sz w:val="18"/>
          <w:szCs w:val="18"/>
        </w:rPr>
        <w:t xml:space="preserve"> and </w:t>
      </w:r>
      <w:r>
        <w:rPr>
          <w:rFonts w:ascii="Garamond" w:hAnsi="Garamond" w:cstheme="minorHAnsi"/>
          <w:i/>
          <w:sz w:val="18"/>
          <w:szCs w:val="18"/>
        </w:rPr>
        <w:t>E. coli</w:t>
      </w:r>
      <w:r>
        <w:rPr>
          <w:rFonts w:ascii="Garamond" w:hAnsi="Garamond" w:cstheme="minorHAnsi"/>
          <w:sz w:val="18"/>
          <w:szCs w:val="18"/>
        </w:rPr>
        <w:t xml:space="preserve"> in the </w:t>
      </w:r>
      <w:r>
        <w:rPr>
          <w:rFonts w:ascii="Garamond" w:hAnsi="Garamond" w:cstheme="minorHAnsi"/>
          <w:sz w:val="18"/>
          <w:szCs w:val="18"/>
        </w:rPr>
        <w:t>t</w:t>
      </w:r>
      <w:r>
        <w:rPr>
          <w:rFonts w:ascii="Garamond" w:hAnsi="Garamond" w:cstheme="minorHAnsi"/>
          <w:sz w:val="18"/>
          <w:szCs w:val="18"/>
        </w:rPr>
        <w:t xml:space="preserve">est </w:t>
      </w:r>
      <w:r>
        <w:rPr>
          <w:rFonts w:ascii="Garamond" w:hAnsi="Garamond" w:cstheme="minorHAnsi"/>
          <w:sz w:val="18"/>
          <w:szCs w:val="18"/>
        </w:rPr>
        <w:t>c</w:t>
      </w:r>
      <w:r>
        <w:rPr>
          <w:rFonts w:ascii="Garamond" w:hAnsi="Garamond" w:cstheme="minorHAnsi"/>
          <w:sz w:val="18"/>
          <w:szCs w:val="18"/>
        </w:rPr>
        <w:t xml:space="preserve">hamber. MMAD for each species </w:t>
      </w:r>
      <w:r>
        <w:rPr>
          <w:rFonts w:ascii="Garamond" w:hAnsi="Garamond" w:cstheme="minorHAnsi"/>
          <w:sz w:val="18"/>
          <w:szCs w:val="18"/>
        </w:rPr>
        <w:t>was</w:t>
      </w:r>
      <w:r>
        <w:rPr>
          <w:rFonts w:ascii="Garamond" w:hAnsi="Garamond" w:cstheme="minorHAnsi"/>
          <w:sz w:val="18"/>
          <w:szCs w:val="18"/>
        </w:rPr>
        <w:t xml:space="preserve"> approximately 2.4-2.6 µm.</w:t>
      </w:r>
    </w:p>
    <w:p>
      <w:pPr>
        <w:ind w:firstLine="720"/>
        <w:jc w:val="both"/>
        <w:rPr>
          <w:rFonts w:asciiTheme="minorHAnsi" w:hAnsiTheme="minorHAnsi" w:cstheme="minorHAnsi"/>
          <w:b/>
          <w:sz w:val="20"/>
          <w:szCs w:val="20"/>
        </w:rPr>
      </w:pPr>
    </w:p>
    <w:p>
      <w:pPr>
        <w:jc w:val="both"/>
        <w:rPr>
          <w:rFonts w:asciiTheme="minorHAnsi" w:hAnsiTheme="minorHAnsi" w:cstheme="minorHAnsi"/>
          <w:b/>
          <w:sz w:val="20"/>
          <w:szCs w:val="20"/>
        </w:rPr>
      </w:pPr>
      <w:r>
        <w:rPr>
          <w:rFonts w:asciiTheme="minorHAnsi" w:hAnsiTheme="minorHAnsi" w:cstheme="minorHAnsi"/>
          <w:b/>
          <w:sz w:val="20"/>
          <w:szCs w:val="20"/>
        </w:rPr>
        <w:t>Viral Culture &amp; Preparation</w:t>
      </w:r>
    </w:p>
    <w:p>
      <w:pPr>
        <w:jc w:val="both"/>
        <w:rPr>
          <w:rFonts w:asciiTheme="minorHAnsi" w:hAnsiTheme="minorHAnsi" w:cstheme="minorHAnsi"/>
          <w:sz w:val="20"/>
          <w:szCs w:val="20"/>
        </w:rPr>
      </w:pPr>
    </w:p>
    <w:p>
      <w:pPr>
        <w:ind w:firstLine="360"/>
        <w:jc w:val="both"/>
        <w:rPr>
          <w:rFonts w:asciiTheme="minorHAnsi" w:hAnsiTheme="minorHAnsi" w:cstheme="minorHAnsi"/>
          <w:sz w:val="19"/>
          <w:szCs w:val="19"/>
        </w:rPr>
      </w:pPr>
      <w:r>
        <w:rPr>
          <w:rFonts w:asciiTheme="minorHAnsi" w:hAnsiTheme="minorHAnsi" w:cstheme="minorHAnsi"/>
          <w:sz w:val="19"/>
          <w:szCs w:val="19"/>
        </w:rPr>
        <w:t>Pure strain viral seed stock and host bacterium were obtained from ATCC.  Host bacterium was grown in a similar fashion to the vegetative cells in an appropriate liquid media. The liquid media was infected during the logarithmic growth cycle with the specific bacteriophage.</w:t>
      </w:r>
    </w:p>
    <w:p>
      <w:pPr>
        <w:ind w:firstLine="360"/>
        <w:jc w:val="both"/>
        <w:rPr>
          <w:rFonts w:asciiTheme="minorHAnsi" w:hAnsiTheme="minorHAnsi" w:cstheme="minorHAnsi"/>
          <w:sz w:val="19"/>
          <w:szCs w:val="19"/>
        </w:rPr>
      </w:pPr>
    </w:p>
    <w:p>
      <w:pPr>
        <w:pStyle w:val="NormalWeb"/>
        <w:ind w:firstLine="360"/>
        <w:jc w:val="both"/>
        <w:spacing w:after="0" w:afterAutospacing="0" w:before="0" w:beforeAutospacing="0"/>
        <w:rPr>
          <w:rFonts w:asciiTheme="minorHAnsi" w:hAnsiTheme="minorHAnsi" w:cstheme="minorHAnsi"/>
          <w:sz w:val="19"/>
          <w:szCs w:val="19"/>
        </w:rPr>
      </w:pPr>
      <w:r>
        <w:rPr>
          <w:rFonts w:asciiTheme="minorHAnsi" w:hAnsiTheme="minorHAnsi" w:cstheme="minorHAnsi"/>
          <w:sz w:val="19"/>
          <w:szCs w:val="19"/>
        </w:rPr>
        <w:t>After an appropriate incubation time, the cells were lysed and the cellular debris separated by centrifugation. MS2 stock yields were greater than 1 x 10</w:t>
      </w:r>
      <w:r>
        <w:rPr>
          <w:rFonts w:asciiTheme="minorHAnsi" w:hAnsiTheme="minorHAnsi" w:cstheme="minorHAnsi"/>
          <w:sz w:val="19"/>
          <w:szCs w:val="19"/>
          <w:vertAlign w:val="superscript"/>
        </w:rPr>
        <w:t>11</w:t>
      </w:r>
      <w:r>
        <w:rPr>
          <w:rFonts w:asciiTheme="minorHAnsi" w:hAnsiTheme="minorHAnsi" w:cstheme="minorHAnsi"/>
          <w:sz w:val="19"/>
          <w:szCs w:val="19"/>
        </w:rPr>
        <w:t xml:space="preserve"> plaque forming units per milliliter (pfu/mL) with a single amplification procedure.  This stock MS2 viral solution was then diluted with PBS to approximately 1 x 10</w:t>
      </w:r>
      <w:r>
        <w:rPr>
          <w:rFonts w:asciiTheme="minorHAnsi" w:hAnsiTheme="minorHAnsi" w:cstheme="minorHAnsi"/>
          <w:sz w:val="19"/>
          <w:szCs w:val="19"/>
          <w:vertAlign w:val="superscript"/>
        </w:rPr>
        <w:t>10</w:t>
      </w:r>
      <w:r>
        <w:rPr>
          <w:rFonts w:asciiTheme="minorHAnsi" w:hAnsiTheme="minorHAnsi" w:cstheme="minorHAnsi"/>
          <w:sz w:val="19"/>
          <w:szCs w:val="19"/>
        </w:rPr>
        <w:t xml:space="preserve"> plaque forming units per milliliter (pfu/mL) for use in the Collision nebulizer. The Phi X174 stock was prepared in the same manner however, in order to achieve a high enough concentration the Phi X 174 underwent a double amplification procedure.</w:t>
      </w:r>
    </w:p>
    <w:p>
      <w:pPr>
        <w:pStyle w:val="NormalWeb"/>
        <w:ind w:firstLine="360"/>
        <w:jc w:val="both"/>
        <w:spacing w:after="0" w:afterAutospacing="0" w:before="0" w:beforeAutospacing="0"/>
        <w:rPr>
          <w:rFonts w:asciiTheme="minorHAnsi" w:hAnsiTheme="minorHAnsi" w:cstheme="minorHAnsi"/>
          <w:sz w:val="20"/>
          <w:szCs w:val="20"/>
        </w:rPr>
      </w:pPr>
    </w:p>
    <w:p>
      <w:pPr>
        <w:pStyle w:val="NormalWeb"/>
        <w:jc w:val="both"/>
        <w:spacing w:after="0" w:afterAutospacing="0" w:before="0" w:beforeAutospacing="0"/>
        <w:rPr>
          <w:rFonts w:asciiTheme="minorHAnsi" w:hAnsiTheme="minorHAnsi" w:cstheme="minorHAnsi"/>
          <w:b/>
          <w:sz w:val="20"/>
          <w:szCs w:val="20"/>
        </w:rPr>
      </w:pPr>
      <w:r>
        <w:rPr>
          <w:rFonts w:asciiTheme="minorHAnsi" w:hAnsiTheme="minorHAnsi" w:cstheme="minorHAnsi"/>
          <w:b/>
          <w:sz w:val="20"/>
          <w:szCs w:val="20"/>
        </w:rPr>
        <w:t>Vegetative Cells Culture &amp; Preparation</w:t>
      </w:r>
    </w:p>
    <w:p>
      <w:pPr>
        <w:pStyle w:val="NormalWeb"/>
        <w:jc w:val="both"/>
        <w:spacing w:after="0" w:afterAutospacing="0" w:before="0" w:beforeAutospacing="0"/>
        <w:rPr>
          <w:rFonts w:asciiTheme="minorHAnsi" w:hAnsiTheme="minorHAnsi" w:cstheme="minorHAnsi"/>
          <w:b/>
          <w:sz w:val="20"/>
          <w:szCs w:val="20"/>
        </w:rPr>
      </w:pPr>
    </w:p>
    <w:p>
      <w:pPr>
        <w:ind w:firstLine="360"/>
        <w:jc w:val="both"/>
        <w:rPr>
          <w:rFonts w:asciiTheme="minorHAnsi" w:hAnsiTheme="minorHAnsi" w:cstheme="minorHAnsi"/>
          <w:sz w:val="19"/>
          <w:szCs w:val="19"/>
        </w:rPr>
      </w:pPr>
      <w:r>
        <w:rPr>
          <w:rFonts w:asciiTheme="minorHAnsi" w:hAnsiTheme="minorHAnsi" w:cstheme="minorHAnsi"/>
          <w:sz w:val="19"/>
          <w:szCs w:val="19"/>
        </w:rPr>
        <w:t xml:space="preserve">Pure strain seed stocks </w:t>
      </w:r>
      <w:r>
        <w:rPr>
          <w:rFonts w:asciiTheme="minorHAnsi" w:hAnsiTheme="minorHAnsi" w:cstheme="minorHAnsi"/>
          <w:sz w:val="19"/>
          <w:szCs w:val="19"/>
        </w:rPr>
        <w:t>were</w:t>
      </w:r>
      <w:r>
        <w:rPr>
          <w:rFonts w:asciiTheme="minorHAnsi" w:hAnsiTheme="minorHAnsi" w:cstheme="minorHAnsi"/>
          <w:sz w:val="19"/>
          <w:szCs w:val="19"/>
        </w:rPr>
        <w:t xml:space="preserve"> purchased from ATCC (American Type Culture Collection, Manassas VA).</w:t>
      </w:r>
      <w:r>
        <w:rPr>
          <w:rFonts w:asciiTheme="minorHAnsi" w:hAnsiTheme="minorHAnsi" w:cstheme="minorHAnsi"/>
          <w:sz w:val="19"/>
          <w:szCs w:val="19"/>
        </w:rPr>
        <w:t xml:space="preserve"> For ATCC reference numbers see </w:t>
      </w:r>
      <w:r>
        <w:rPr>
          <w:rFonts w:asciiTheme="minorHAnsi" w:hAnsiTheme="minorHAnsi" w:cstheme="minorHAnsi"/>
          <w:b/>
          <w:color w:val="0070C0"/>
          <w:sz w:val="19"/>
          <w:szCs w:val="19"/>
        </w:rPr>
        <w:t xml:space="preserve">Table 1 </w:t>
      </w:r>
      <w:r>
        <w:rPr>
          <w:rFonts w:asciiTheme="minorHAnsi" w:hAnsiTheme="minorHAnsi" w:cstheme="minorHAnsi"/>
          <w:sz w:val="19"/>
          <w:szCs w:val="19"/>
        </w:rPr>
        <w:t>below on page 8.</w:t>
      </w:r>
      <w:r>
        <w:rPr>
          <w:rFonts w:asciiTheme="minorHAnsi" w:hAnsiTheme="minorHAnsi" w:cstheme="minorHAnsi"/>
          <w:sz w:val="19"/>
          <w:szCs w:val="19"/>
        </w:rPr>
        <w:t xml:space="preserve"> Working stock cultures were prepared using aseptic techniques in a class 2 biological safety cabinet and followed standard preparation methodologies. Approximately 250mL of each biological stock was prepared in tryptic soy liquid broth media, and incubated for 24-48 hours with oxygen infusion (1cc/min) at 37°C.  Biological stock concentrations were around 1 x 10</w:t>
      </w:r>
      <w:r>
        <w:rPr>
          <w:rFonts w:asciiTheme="minorHAnsi" w:hAnsiTheme="minorHAnsi" w:cstheme="minorHAnsi"/>
          <w:sz w:val="19"/>
          <w:szCs w:val="19"/>
          <w:vertAlign w:val="superscript"/>
        </w:rPr>
        <w:t>10</w:t>
      </w:r>
      <w:r>
        <w:rPr>
          <w:rFonts w:asciiTheme="minorHAnsi" w:hAnsiTheme="minorHAnsi" w:cstheme="minorHAnsi"/>
          <w:sz w:val="19"/>
          <w:szCs w:val="19"/>
        </w:rPr>
        <w:t xml:space="preserve"> cfu/ml. </w:t>
      </w:r>
    </w:p>
    <w:p>
      <w:pPr>
        <w:ind w:firstLine="360"/>
        <w:jc w:val="both"/>
        <w:rPr>
          <w:rFonts w:asciiTheme="minorHAnsi" w:hAnsiTheme="minorHAnsi" w:cstheme="minorHAnsi"/>
          <w:sz w:val="19"/>
          <w:szCs w:val="19"/>
        </w:rPr>
      </w:pPr>
    </w:p>
    <w:p>
      <w:pPr>
        <w:ind w:firstLine="360"/>
        <w:jc w:val="both"/>
        <w:rPr>
          <w:rFonts w:asciiTheme="minorHAnsi" w:hAnsiTheme="minorHAnsi" w:cstheme="minorHAnsi"/>
          <w:sz w:val="19"/>
          <w:szCs w:val="19"/>
        </w:rPr>
      </w:pPr>
      <w:r>
        <w:rPr>
          <w:rFonts w:asciiTheme="minorHAnsi" w:hAnsiTheme="minorHAnsi" w:cstheme="minorHAnsi"/>
          <w:sz w:val="19"/>
          <w:szCs w:val="19"/>
        </w:rPr>
        <w:t>Stock cultures were centrifuged for 10 minutes at 3000rpm in an LD-3 centrifuge in sterile 15mL conical tubes,</w:t>
      </w:r>
      <w:r>
        <w:rPr>
          <w:rFonts w:asciiTheme="minorHAnsi" w:hAnsiTheme="minorHAnsi" w:cstheme="minorHAnsi"/>
          <w:sz w:val="19"/>
          <w:szCs w:val="19"/>
        </w:rPr>
        <w:t xml:space="preserve"> </w:t>
      </w:r>
      <w:r>
        <w:rPr>
          <w:rFonts w:asciiTheme="minorHAnsi" w:hAnsiTheme="minorHAnsi" w:cstheme="minorHAnsi"/>
          <w:sz w:val="19"/>
          <w:szCs w:val="19"/>
        </w:rPr>
        <w:t>growth media was removed, and the cells re-suspended in sterile PBS buffer for aerosolization.  Aliquots of these suspensions were enumerated on tryptic soy agar plates (Hardy Diagnostics, Cincinnati OH) for viable counts and stock concentration calculation.  For each organism, test working stocks were grown in sufficient volume to satisfy use quantities for all tests conducted using t</w:t>
      </w:r>
      <w:r>
        <w:rPr>
          <w:rFonts w:asciiTheme="minorHAnsi" w:hAnsiTheme="minorHAnsi" w:cstheme="minorHAnsi"/>
          <w:sz w:val="19"/>
          <w:szCs w:val="19"/>
        </w:rPr>
        <w:t>he same culture stock material.</w:t>
      </w:r>
    </w:p>
    <w:p>
      <w:pPr>
        <w:ind w:firstLine="360"/>
        <w:jc w:val="center"/>
        <w:rPr>
          <w:rFonts w:asciiTheme="minorHAnsi" w:hAnsiTheme="minorHAnsi" w:cstheme="minorHAnsi"/>
          <w:sz w:val="20"/>
          <w:szCs w:val="20"/>
        </w:rPr>
      </w:pPr>
    </w:p>
    <w:p>
      <w:pPr>
        <w:ind w:left="720" w:hanging="720"/>
        <w:jc w:val="both"/>
        <w:rPr>
          <w:rFonts w:asciiTheme="minorHAnsi" w:hAnsiTheme="minorHAnsi" w:cs="Arial"/>
          <w:b/>
          <w:sz w:val="20"/>
          <w:szCs w:val="18"/>
        </w:rPr>
      </w:pPr>
      <w:r>
        <w:rPr>
          <w:rFonts w:asciiTheme="minorHAnsi" w:hAnsiTheme="minorHAnsi" w:cs="Arial"/>
          <w:b/>
          <w:sz w:val="20"/>
          <w:szCs w:val="18"/>
        </w:rPr>
        <w:t>Fungal Spore Culture &amp; Preparation</w:t>
      </w:r>
    </w:p>
    <w:p>
      <w:pPr>
        <w:ind w:left="720" w:hanging="720"/>
        <w:jc w:val="both"/>
        <w:rPr>
          <w:rFonts w:asciiTheme="minorHAnsi" w:hAnsiTheme="minorHAnsi"/>
          <w:sz w:val="19"/>
          <w:szCs w:val="19"/>
        </w:rPr>
      </w:pPr>
    </w:p>
    <w:p>
      <w:pPr>
        <w:ind w:firstLine="360"/>
        <w:jc w:val="both"/>
        <w:rPr>
          <w:rFonts w:asciiTheme="minorHAnsi" w:hAnsiTheme="minorHAnsi"/>
          <w:sz w:val="19"/>
          <w:szCs w:val="19"/>
        </w:rPr>
      </w:pPr>
      <w:r>
        <w:rPr>
          <w:rFonts w:asciiTheme="minorHAnsi" w:hAnsiTheme="minorHAnsi"/>
          <w:i/>
          <w:sz w:val="19"/>
          <w:szCs w:val="19"/>
        </w:rPr>
        <w:t>A</w:t>
      </w:r>
      <w:r>
        <w:rPr>
          <w:rFonts w:asciiTheme="minorHAnsi" w:hAnsiTheme="minorHAnsi"/>
          <w:i/>
          <w:sz w:val="19"/>
          <w:szCs w:val="19"/>
        </w:rPr>
        <w:t>spergi</w:t>
      </w:r>
      <w:r>
        <w:rPr>
          <w:rFonts w:asciiTheme="minorHAnsi" w:hAnsiTheme="minorHAnsi"/>
          <w:i/>
          <w:sz w:val="19"/>
          <w:szCs w:val="19"/>
        </w:rPr>
        <w:t>llus</w:t>
      </w:r>
      <w:r>
        <w:rPr>
          <w:rFonts w:asciiTheme="minorHAnsi" w:hAnsiTheme="minorHAnsi"/>
          <w:i/>
          <w:sz w:val="19"/>
          <w:szCs w:val="19"/>
        </w:rPr>
        <w:t xml:space="preserve"> brasiliensis</w:t>
      </w:r>
      <w:r>
        <w:rPr>
          <w:rFonts w:asciiTheme="minorHAnsi" w:hAnsiTheme="minorHAnsi"/>
          <w:sz w:val="19"/>
          <w:szCs w:val="19"/>
        </w:rPr>
        <w:t xml:space="preserve"> fungal spores were obtained in purified bulk powder form at a concentration of 1 x 10</w:t>
      </w:r>
      <w:r>
        <w:rPr>
          <w:rFonts w:asciiTheme="minorHAnsi" w:hAnsiTheme="minorHAnsi"/>
          <w:sz w:val="19"/>
          <w:szCs w:val="19"/>
          <w:vertAlign w:val="superscript"/>
        </w:rPr>
        <w:t>9</w:t>
      </w:r>
      <w:r>
        <w:rPr>
          <w:rFonts w:asciiTheme="minorHAnsi" w:hAnsiTheme="minorHAnsi"/>
          <w:sz w:val="19"/>
          <w:szCs w:val="19"/>
        </w:rPr>
        <w:t xml:space="preserve"> cfu/g.  To verify the bulk powder spore concentration, an aliquot of weighed dry powder was prepared in suspension in PBS + 0.005% Tween 80 at a mass: volume ratio to obtain a concentration of 1 x 10</w:t>
      </w:r>
      <w:r>
        <w:rPr>
          <w:rFonts w:asciiTheme="minorHAnsi" w:hAnsiTheme="minorHAnsi"/>
          <w:sz w:val="19"/>
          <w:szCs w:val="19"/>
          <w:vertAlign w:val="superscript"/>
        </w:rPr>
        <w:t>9</w:t>
      </w:r>
      <w:r>
        <w:rPr>
          <w:rFonts w:asciiTheme="minorHAnsi" w:hAnsiTheme="minorHAnsi"/>
          <w:sz w:val="19"/>
          <w:szCs w:val="19"/>
        </w:rPr>
        <w:t xml:space="preserve"> cfu/ml.</w:t>
      </w:r>
      <w:r>
        <w:rPr>
          <w:rFonts w:asciiTheme="minorHAnsi" w:hAnsiTheme="minorHAnsi"/>
          <w:sz w:val="19"/>
          <w:szCs w:val="19"/>
        </w:rPr>
        <w:t xml:space="preserve"> This aliquoted spore suspension was plated prior to testing to verify concentration.</w:t>
      </w:r>
    </w:p>
    <w:p>
      <w:pPr>
        <w:ind w:firstLine="360"/>
        <w:jc w:val="both"/>
        <w:rPr>
          <w:rFonts w:asciiTheme="minorHAnsi" w:hAnsiTheme="minorHAnsi"/>
          <w:sz w:val="19"/>
          <w:szCs w:val="19"/>
        </w:rPr>
      </w:pPr>
    </w:p>
    <w:p>
      <w:pPr>
        <w:ind w:firstLine="360"/>
        <w:jc w:val="both"/>
        <w:rPr>
          <w:rFonts w:asciiTheme="minorHAnsi" w:hAnsiTheme="minorHAnsi"/>
          <w:sz w:val="19"/>
          <w:szCs w:val="19"/>
        </w:rPr>
      </w:pPr>
      <w:r>
        <w:rPr>
          <w:rFonts w:asciiTheme="minorHAnsi" w:hAnsiTheme="minorHAnsi"/>
          <w:i/>
          <w:sz w:val="19"/>
          <w:szCs w:val="19"/>
        </w:rPr>
        <w:t xml:space="preserve">Bacillus </w:t>
      </w:r>
      <w:r>
        <w:rPr>
          <w:rFonts w:asciiTheme="minorHAnsi" w:hAnsiTheme="minorHAnsi"/>
          <w:i/>
          <w:sz w:val="19"/>
          <w:szCs w:val="19"/>
        </w:rPr>
        <w:t xml:space="preserve">subtilis </w:t>
      </w:r>
      <w:r>
        <w:rPr>
          <w:rFonts w:asciiTheme="minorHAnsi" w:hAnsiTheme="minorHAnsi"/>
          <w:sz w:val="19"/>
          <w:szCs w:val="19"/>
        </w:rPr>
        <w:t>freeze-dried spores were purchased from ATCC with a stock concentration of 1 x 10</w:t>
      </w:r>
      <w:r>
        <w:rPr>
          <w:rFonts w:asciiTheme="minorHAnsi" w:hAnsiTheme="minorHAnsi"/>
          <w:sz w:val="19"/>
          <w:szCs w:val="19"/>
          <w:vertAlign w:val="superscript"/>
        </w:rPr>
        <w:t>11</w:t>
      </w:r>
      <w:r>
        <w:rPr>
          <w:rFonts w:asciiTheme="minorHAnsi" w:hAnsiTheme="minorHAnsi"/>
          <w:sz w:val="19"/>
          <w:szCs w:val="19"/>
        </w:rPr>
        <w:t xml:space="preserve"> cfu/gram. One gram of dry spores was suspended in a 250mL solution</w:t>
      </w:r>
    </w:p>
    <w:p>
      <w:pPr>
        <w:jc w:val="center"/>
        <w:rPr>
          <w:rFonts w:asciiTheme="minorHAnsi" w:hAnsiTheme="minorHAnsi" w:cstheme="minorHAnsi"/>
          <w:sz w:val="19"/>
          <w:szCs w:val="19"/>
        </w:rPr>
        <w:sectPr>
          <w:type w:val="continuous"/>
          <w:pgSz w:w="12240" w:h="15840" w:code="1"/>
          <w:pgMar w:top="1440" w:right="1080" w:bottom="720" w:left="1080" w:header="720" w:footer="432" w:gutter="0"/>
          <w:cols w:space="720" w:num="2"/>
          <w:docGrid w:linePitch="360"/>
        </w:sectPr>
      </w:pPr>
    </w:p>
    <w:p>
      <w:pPr>
        <w:jc w:val="center"/>
        <w:rPr>
          <w:rFonts w:asciiTheme="minorHAnsi" w:hAnsiTheme="minorHAnsi" w:cstheme="minorHAnsi"/>
          <w:sz w:val="19"/>
          <w:szCs w:val="19"/>
        </w:rPr>
      </w:pPr>
      <w:r>
        <w:rPr>
          <w:lang w:eastAsia="ko-KR"/>
          <w:rFonts w:asciiTheme="minorHAnsi" w:hAnsiTheme="minorHAnsi" w:cstheme="minorHAnsi"/>
          <w:sz w:val="19"/>
          <w:szCs w:val="19"/>
          <w:rtl w:val="off"/>
        </w:rPr>
        <w:t xml:space="preserve"> </w:t>
      </w:r>
      <w:r>
        <w:rPr>
          <w:noProof/>
        </w:rPr>
        <w:drawing>
          <wp:inline distT="0" distB="0" distL="0" distR="0">
            <wp:extent cx="6400800" cy="3161311"/>
            <wp:effectExtent l="0" t="0" r="0" b="0"/>
            <wp:docPr id="1041" name="shape1041"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15">
                      <a:extLst>
                        <a:ext uri="{28A0092B-C50C-407E-A947-70E740481C1C}">
                          <a14:useLocalDpi xmlns:a14="http://schemas.microsoft.com/office/drawing/2010/main" val="0"/>
                        </a:ext>
                      </a:extLst>
                    </a:blip>
                    <a:srcRect/>
                    <a:stretch>
                      <a:fillRect/>
                    </a:stretch>
                  </pic:blipFill>
                  <pic:spPr>
                    <a:xfrm>
                      <a:off x="0" y="0"/>
                      <a:ext cx="6400800" cy="3161311"/>
                    </a:xfrm>
                    <a:prstGeom prst="rect"/>
                    <a:noFill/>
                    <a:ln>
                      <a:noFill/>
                    </a:ln>
                  </pic:spPr>
                </pic:pic>
              </a:graphicData>
            </a:graphic>
          </wp:inline>
        </w:drawing>
      </w:r>
    </w:p>
    <w:p>
      <w:pPr>
        <w:ind w:firstLine="360"/>
        <w:jc w:val="center"/>
        <w:rPr>
          <w:rFonts w:ascii="Garamond" w:hAnsi="Garamond" w:cstheme="minorHAnsi"/>
          <w:i/>
          <w:sz w:val="19"/>
          <w:szCs w:val="19"/>
        </w:rPr>
      </w:pPr>
      <w:r>
        <w:rPr>
          <w:rFonts w:ascii="Garamond" w:hAnsi="Garamond" w:cstheme="minorHAnsi"/>
          <w:b/>
          <w:color w:val="0070C0"/>
          <w:sz w:val="19"/>
          <w:szCs w:val="19"/>
        </w:rPr>
        <w:t>Table 1</w:t>
      </w:r>
      <w:r>
        <w:rPr>
          <w:rFonts w:ascii="Garamond" w:hAnsi="Garamond" w:cstheme="minorHAnsi"/>
          <w:b/>
          <w:sz w:val="19"/>
          <w:szCs w:val="19"/>
        </w:rPr>
        <w:t>:</w:t>
      </w:r>
      <w:r>
        <w:rPr>
          <w:rFonts w:ascii="Garamond" w:hAnsi="Garamond" w:cstheme="minorHAnsi"/>
          <w:sz w:val="19"/>
          <w:szCs w:val="19"/>
        </w:rPr>
        <w:t xml:space="preserve"> </w:t>
      </w:r>
      <w:r>
        <w:rPr>
          <w:rFonts w:ascii="Garamond" w:hAnsi="Garamond" w:cstheme="minorHAnsi"/>
          <w:i/>
          <w:sz w:val="19"/>
          <w:szCs w:val="19"/>
        </w:rPr>
        <w:t xml:space="preserve">Test Matrix for the Radic8 VKPro purification </w:t>
      </w:r>
    </w:p>
    <w:p>
      <w:pPr>
        <w:ind w:firstLine="360"/>
        <w:jc w:val="center"/>
        <w:rPr>
          <w:rFonts w:ascii="Garamond" w:hAnsi="Garamond" w:cstheme="minorHAnsi"/>
          <w:sz w:val="19"/>
          <w:szCs w:val="19"/>
        </w:rPr>
      </w:pPr>
    </w:p>
    <w:p>
      <w:pPr>
        <w:ind w:firstLine="360"/>
        <w:jc w:val="center"/>
        <w:rPr>
          <w:rFonts w:ascii="Garamond" w:hAnsi="Garamond" w:cstheme="minorHAnsi"/>
          <w:sz w:val="19"/>
          <w:szCs w:val="19"/>
        </w:rPr>
        <w:sectPr>
          <w:type w:val="continuous"/>
          <w:pgSz w:w="12240" w:h="15840" w:code="1"/>
          <w:pgMar w:top="1440" w:right="1080" w:bottom="720" w:left="1080" w:header="720" w:footer="432" w:gutter="0"/>
          <w:cols w:space="720"/>
          <w:docGrid w:linePitch="360"/>
        </w:sectPr>
      </w:pPr>
    </w:p>
    <w:p>
      <w:pPr>
        <w:jc w:val="both"/>
        <w:rPr>
          <w:rFonts w:asciiTheme="minorHAnsi" w:hAnsiTheme="minorHAnsi"/>
          <w:sz w:val="19"/>
          <w:szCs w:val="19"/>
        </w:rPr>
      </w:pPr>
      <w:r>
        <w:rPr>
          <w:rFonts w:asciiTheme="minorHAnsi" w:hAnsiTheme="minorHAnsi"/>
          <w:sz w:val="19"/>
          <w:szCs w:val="19"/>
        </w:rPr>
        <w:t>of 50/50 91% Isopropyl alcohol and PBS + 5% Tween to assist in de-agglomeration. This suspension was sonicated for 40 minutes in order to bring all powder into solution.</w:t>
      </w:r>
      <w:r>
        <w:rPr>
          <w:rFonts w:asciiTheme="minorHAnsi" w:hAnsiTheme="minorHAnsi"/>
          <w:sz w:val="19"/>
          <w:szCs w:val="19"/>
        </w:rPr>
        <w:t xml:space="preserve"> </w:t>
      </w:r>
      <w:r>
        <w:rPr>
          <w:rFonts w:asciiTheme="minorHAnsi" w:hAnsiTheme="minorHAnsi"/>
          <w:sz w:val="19"/>
          <w:szCs w:val="19"/>
        </w:rPr>
        <w:t>This aliquoted spore suspension was plated prior to testing to verify concentration.</w:t>
      </w:r>
    </w:p>
    <w:p>
      <w:pPr>
        <w:jc w:val="both"/>
        <w:rPr>
          <w:rFonts w:asciiTheme="minorHAnsi" w:hAnsiTheme="minorHAnsi" w:cs="Arial"/>
          <w:b/>
          <w:sz w:val="20"/>
          <w:szCs w:val="20"/>
        </w:rPr>
      </w:pPr>
    </w:p>
    <w:p>
      <w:pPr>
        <w:jc w:val="both"/>
        <w:rPr>
          <w:rFonts w:asciiTheme="minorHAnsi" w:hAnsiTheme="minorHAnsi" w:cs="Arial"/>
          <w:sz w:val="20"/>
          <w:szCs w:val="20"/>
        </w:rPr>
      </w:pPr>
      <w:r>
        <w:rPr>
          <w:rFonts w:asciiTheme="minorHAnsi" w:hAnsiTheme="minorHAnsi" w:cs="Arial"/>
          <w:b/>
          <w:sz w:val="20"/>
          <w:szCs w:val="20"/>
        </w:rPr>
        <w:t>Plating and Enumeration</w:t>
      </w:r>
    </w:p>
    <w:p>
      <w:pPr>
        <w:ind w:firstLine="360"/>
        <w:jc w:val="both"/>
        <w:rPr>
          <w:rFonts w:asciiTheme="minorHAnsi" w:hAnsiTheme="minorHAnsi"/>
          <w:sz w:val="19"/>
          <w:szCs w:val="19"/>
        </w:rPr>
      </w:pPr>
    </w:p>
    <w:p>
      <w:pPr>
        <w:jc w:val="both"/>
        <w:rPr>
          <w:rFonts w:asciiTheme="minorHAnsi" w:hAnsiTheme="minorHAnsi"/>
          <w:sz w:val="19"/>
          <w:szCs w:val="19"/>
        </w:rPr>
      </w:pPr>
      <w:r>
        <w:rPr>
          <w:rFonts w:asciiTheme="minorHAnsi" w:hAnsiTheme="minorHAnsi"/>
          <w:sz w:val="19"/>
          <w:szCs w:val="19"/>
        </w:rPr>
        <w:t xml:space="preserve">Impinger and stock biological cultures </w:t>
      </w:r>
      <w:r>
        <w:rPr>
          <w:rFonts w:asciiTheme="minorHAnsi" w:hAnsiTheme="minorHAnsi"/>
          <w:sz w:val="19"/>
          <w:szCs w:val="19"/>
        </w:rPr>
        <w:t>were</w:t>
      </w:r>
      <w:r>
        <w:rPr>
          <w:rFonts w:asciiTheme="minorHAnsi" w:hAnsiTheme="minorHAnsi"/>
          <w:sz w:val="19"/>
          <w:szCs w:val="19"/>
        </w:rPr>
        <w:t xml:space="preserve"> serially diluted and plated in triplicate</w:t>
      </w:r>
      <w:r>
        <w:rPr>
          <w:rFonts w:asciiTheme="minorHAnsi" w:hAnsiTheme="minorHAnsi"/>
          <w:sz w:val="19"/>
          <w:szCs w:val="19"/>
        </w:rPr>
        <w:t>.</w:t>
      </w:r>
      <w:r>
        <w:rPr>
          <w:rFonts w:asciiTheme="minorHAnsi" w:hAnsiTheme="minorHAnsi"/>
          <w:sz w:val="19"/>
          <w:szCs w:val="19"/>
        </w:rPr>
        <w:t xml:space="preserve"> (Multiple serial dilutions) using a standard spread plate assay technique onto tryptic soy agar plates. The plated cultures </w:t>
      </w:r>
      <w:r>
        <w:rPr>
          <w:rFonts w:asciiTheme="minorHAnsi" w:hAnsiTheme="minorHAnsi"/>
          <w:sz w:val="19"/>
          <w:szCs w:val="19"/>
        </w:rPr>
        <w:t>were</w:t>
      </w:r>
      <w:r>
        <w:rPr>
          <w:rFonts w:asciiTheme="minorHAnsi" w:hAnsiTheme="minorHAnsi"/>
          <w:sz w:val="19"/>
          <w:szCs w:val="19"/>
        </w:rPr>
        <w:t xml:space="preserve"> incubated for 24-48 hours</w:t>
      </w:r>
      <w:r>
        <w:rPr>
          <w:rFonts w:asciiTheme="minorHAnsi" w:hAnsiTheme="minorHAnsi"/>
          <w:sz w:val="19"/>
          <w:szCs w:val="19"/>
        </w:rPr>
        <w:t>, depending on the species,</w:t>
      </w:r>
      <w:r>
        <w:rPr>
          <w:rFonts w:asciiTheme="minorHAnsi" w:hAnsiTheme="minorHAnsi"/>
          <w:sz w:val="19"/>
          <w:szCs w:val="19"/>
        </w:rPr>
        <w:t xml:space="preserve"> </w:t>
      </w:r>
      <w:r>
        <w:rPr>
          <w:rFonts w:asciiTheme="minorHAnsi" w:hAnsiTheme="minorHAnsi"/>
          <w:sz w:val="19"/>
          <w:szCs w:val="19"/>
        </w:rPr>
        <w:t>then</w:t>
      </w:r>
      <w:r>
        <w:rPr>
          <w:rFonts w:asciiTheme="minorHAnsi" w:hAnsiTheme="minorHAnsi"/>
          <w:sz w:val="19"/>
          <w:szCs w:val="19"/>
        </w:rPr>
        <w:t xml:space="preserve"> enumerated and recorded</w:t>
      </w:r>
    </w:p>
    <w:p>
      <w:pPr>
        <w:jc w:val="both"/>
        <w:rPr>
          <w:rFonts w:asciiTheme="minorHAnsi" w:hAnsiTheme="minorHAnsi"/>
          <w:sz w:val="19"/>
          <w:szCs w:val="19"/>
        </w:rPr>
      </w:pPr>
    </w:p>
    <w:p>
      <w:pPr>
        <w:ind w:firstLine="360"/>
        <w:jc w:val="both"/>
        <w:rPr>
          <w:rFonts w:asciiTheme="minorHAnsi" w:hAnsiTheme="minorHAnsi"/>
          <w:sz w:val="19"/>
          <w:szCs w:val="19"/>
        </w:rPr>
      </w:pPr>
      <w:r>
        <w:rPr>
          <w:rFonts w:asciiTheme="minorHAnsi" w:hAnsiTheme="minorHAnsi"/>
          <w:sz w:val="19"/>
          <w:szCs w:val="19"/>
        </w:rPr>
        <w:t>When</w:t>
      </w:r>
      <w:r>
        <w:rPr>
          <w:rFonts w:asciiTheme="minorHAnsi" w:hAnsiTheme="minorHAnsi"/>
          <w:sz w:val="19"/>
          <w:szCs w:val="19"/>
        </w:rPr>
        <w:t xml:space="preserve"> working with microorganisms at extremely low concentrations</w:t>
      </w:r>
      <w:r>
        <w:rPr>
          <w:rFonts w:asciiTheme="minorHAnsi" w:hAnsiTheme="minorHAnsi"/>
          <w:sz w:val="19"/>
          <w:szCs w:val="19"/>
        </w:rPr>
        <w:t xml:space="preserve"> </w:t>
      </w:r>
      <w:r>
        <w:rPr>
          <w:rFonts w:asciiTheme="minorHAnsi" w:hAnsiTheme="minorHAnsi"/>
          <w:sz w:val="19"/>
          <w:szCs w:val="19"/>
        </w:rPr>
        <w:t xml:space="preserve">viable cascade </w:t>
      </w:r>
      <w:r>
        <w:rPr>
          <w:rFonts w:asciiTheme="minorHAnsi" w:hAnsiTheme="minorHAnsi"/>
          <w:sz w:val="19"/>
          <w:szCs w:val="19"/>
        </w:rPr>
        <w:t>sampling</w:t>
      </w:r>
      <w:r>
        <w:rPr>
          <w:rFonts w:asciiTheme="minorHAnsi" w:hAnsiTheme="minorHAnsi"/>
          <w:sz w:val="19"/>
          <w:szCs w:val="19"/>
        </w:rPr>
        <w:t xml:space="preserve"> was used. This method samples the chamber by pulling 30 liters per minute through the cascade device directly onto an agar plate. Enumeration of colonies grown depends on the concentration of the sample. Colony counts</w:t>
      </w:r>
      <w:r>
        <w:rPr>
          <w:rFonts w:asciiTheme="minorHAnsi" w:hAnsiTheme="minorHAnsi"/>
          <w:sz w:val="19"/>
          <w:szCs w:val="19"/>
        </w:rPr>
        <w:t>,</w:t>
      </w:r>
      <w:r>
        <w:rPr>
          <w:rFonts w:asciiTheme="minorHAnsi" w:hAnsiTheme="minorHAnsi"/>
          <w:sz w:val="19"/>
          <w:szCs w:val="19"/>
        </w:rPr>
        <w:t xml:space="preserve"> totaling up to 400</w:t>
      </w:r>
      <w:r>
        <w:rPr>
          <w:rFonts w:asciiTheme="minorHAnsi" w:hAnsiTheme="minorHAnsi"/>
          <w:sz w:val="19"/>
          <w:szCs w:val="19"/>
        </w:rPr>
        <w:t>,</w:t>
      </w:r>
      <w:r>
        <w:rPr>
          <w:rFonts w:asciiTheme="minorHAnsi" w:hAnsiTheme="minorHAnsi"/>
          <w:sz w:val="19"/>
          <w:szCs w:val="19"/>
        </w:rPr>
        <w:t xml:space="preserve"> can then be adjusted using the positive conversion table. This table is based on the principle that, as the number of viable particles being impinged on a given plate increases, the probability of the next particle going into an “empty hole” decreases. This can be corrected statistically using the conversion formula of Feller, W (1950).</w:t>
      </w:r>
    </w:p>
    <w:p>
      <w:pPr>
        <w:ind w:firstLine="360"/>
        <w:jc w:val="both"/>
        <w:rPr>
          <w:rFonts w:asciiTheme="minorHAnsi" w:hAnsiTheme="minorHAnsi"/>
          <w:sz w:val="19"/>
          <w:szCs w:val="19"/>
        </w:rPr>
      </w:pPr>
    </w:p>
    <w:p>
      <w:pPr>
        <w:jc w:val="both"/>
        <w:rPr>
          <w:rFonts w:asciiTheme="minorHAnsi" w:hAnsiTheme="minorHAnsi" w:cstheme="minorHAnsi"/>
          <w:sz w:val="20"/>
          <w:szCs w:val="19"/>
        </w:rPr>
      </w:pPr>
      <w:r>
        <w:rPr>
          <w:rFonts w:asciiTheme="minorHAnsi" w:hAnsiTheme="minorHAnsi" w:cstheme="minorHAnsi"/>
          <w:b/>
          <w:sz w:val="20"/>
          <w:szCs w:val="20"/>
        </w:rPr>
        <w:t>Post-Testing Decontamination and Prep</w:t>
      </w:r>
    </w:p>
    <w:p>
      <w:pPr>
        <w:rPr>
          <w:rFonts w:asciiTheme="minorHAnsi" w:hAnsiTheme="minorHAnsi" w:cstheme="minorHAnsi"/>
          <w:b/>
          <w:sz w:val="18"/>
          <w:szCs w:val="20"/>
        </w:rPr>
      </w:pPr>
    </w:p>
    <w:p>
      <w:pPr>
        <w:ind w:firstLine="360"/>
        <w:jc w:val="both"/>
        <w:rPr>
          <w:rFonts w:asciiTheme="minorHAnsi" w:hAnsiTheme="minorHAnsi" w:cstheme="minorHAnsi"/>
          <w:sz w:val="19"/>
          <w:szCs w:val="19"/>
        </w:rPr>
      </w:pPr>
      <w:r>
        <w:rPr>
          <w:rFonts w:asciiTheme="minorHAnsi" w:hAnsiTheme="minorHAnsi" w:cstheme="minorHAnsi"/>
          <w:sz w:val="19"/>
          <w:szCs w:val="19"/>
        </w:rPr>
        <w:t xml:space="preserve">Following each test, the chamber was air flow evacuated/purged for a minimum of twenty minutes between tests and analyzed with the APS for particle concentration decrease to baseline levels between each test. The chamber was decontaminated at the conclusion of the trials with aerosol/vaporous hydrogen peroxide (35%).  The Collison nebulizer and impingers were cleaned at the conclusion of each day of testing by soaking in a </w:t>
      </w:r>
      <w:r>
        <w:rPr>
          <w:rFonts w:asciiTheme="minorHAnsi" w:hAnsiTheme="minorHAnsi" w:cstheme="minorHAnsi"/>
          <w:sz w:val="19"/>
          <w:szCs w:val="19"/>
        </w:rPr>
        <w:t>3</w:t>
      </w:r>
      <w:r>
        <w:rPr>
          <w:rFonts w:asciiTheme="minorHAnsi" w:hAnsiTheme="minorHAnsi" w:cstheme="minorHAnsi"/>
          <w:sz w:val="19"/>
          <w:szCs w:val="19"/>
        </w:rPr>
        <w:t>% bleach bath for 20 minutes. The nebulizer and impingers were then submerged in a DI water bath, removed, and spray rinsed 6x with filtered DI water until use.</w:t>
      </w:r>
    </w:p>
    <w:p>
      <w:pPr>
        <w:ind w:firstLine="360"/>
        <w:jc w:val="both"/>
        <w:rPr>
          <w:rFonts w:asciiTheme="minorHAnsi" w:hAnsiTheme="minorHAnsi" w:cstheme="minorHAnsi"/>
          <w:sz w:val="19"/>
          <w:szCs w:val="19"/>
        </w:rPr>
      </w:pPr>
    </w:p>
    <w:p>
      <w:pPr>
        <w:rPr>
          <w:rFonts w:asciiTheme="minorHAnsi" w:hAnsiTheme="minorHAnsi" w:cstheme="minorHAnsi"/>
          <w:b/>
          <w:sz w:val="20"/>
          <w:szCs w:val="20"/>
        </w:rPr>
      </w:pPr>
      <w:r>
        <w:rPr>
          <w:rFonts w:asciiTheme="minorHAnsi" w:hAnsiTheme="minorHAnsi" w:cstheme="minorHAnsi"/>
          <w:b/>
          <w:sz w:val="20"/>
          <w:szCs w:val="20"/>
        </w:rPr>
        <w:t>Data Analysis</w:t>
      </w:r>
    </w:p>
    <w:p>
      <w:pPr>
        <w:rPr>
          <w:rFonts w:asciiTheme="minorHAnsi" w:hAnsiTheme="minorHAnsi" w:cstheme="minorHAnsi"/>
          <w:b/>
          <w:sz w:val="18"/>
          <w:szCs w:val="20"/>
        </w:rPr>
      </w:pPr>
    </w:p>
    <w:p>
      <w:pPr>
        <w:ind w:firstLine="360"/>
        <w:jc w:val="both"/>
        <w:rPr>
          <w:rFonts w:asciiTheme="minorHAnsi" w:hAnsiTheme="minorHAnsi" w:cstheme="minorHAnsi"/>
          <w:sz w:val="19"/>
          <w:szCs w:val="19"/>
        </w:rPr>
      </w:pPr>
      <w:r>
        <w:rPr>
          <w:rFonts w:asciiTheme="minorHAnsi" w:hAnsiTheme="minorHAnsi" w:cstheme="minorHAnsi"/>
          <w:sz w:val="19"/>
          <w:szCs w:val="19"/>
        </w:rPr>
        <w:t xml:space="preserve">Results from the control trials were graphed and plotted to show natural viability loss over time in the chamber. These control runs served as the basis to determine the time required for the </w:t>
      </w:r>
      <w:r>
        <w:rPr>
          <w:rFonts w:asciiTheme="minorHAnsi" w:hAnsiTheme="minorHAnsi" w:cstheme="minorHAnsi"/>
          <w:sz w:val="19"/>
          <w:szCs w:val="19"/>
        </w:rPr>
        <w:t>VKPro</w:t>
      </w:r>
      <w:r>
        <w:rPr>
          <w:rFonts w:asciiTheme="minorHAnsi" w:hAnsiTheme="minorHAnsi" w:cstheme="minorHAnsi"/>
          <w:sz w:val="19"/>
          <w:szCs w:val="19"/>
        </w:rPr>
        <w:t xml:space="preserve"> device to achieve at least a 4 LOG (99.99%) reduction in viable bioaerosol above the natural losses from the control runs.</w:t>
      </w:r>
      <w:r>
        <w:rPr>
          <w:rFonts w:asciiTheme="minorHAnsi" w:hAnsiTheme="minorHAnsi" w:cstheme="minorHAnsi"/>
          <w:sz w:val="19"/>
          <w:szCs w:val="19"/>
        </w:rPr>
        <w:t xml:space="preserve"> </w:t>
      </w:r>
      <w:r>
        <w:rPr>
          <w:rFonts w:asciiTheme="minorHAnsi" w:hAnsiTheme="minorHAnsi" w:cstheme="minorHAnsi"/>
          <w:sz w:val="19"/>
          <w:szCs w:val="19"/>
        </w:rPr>
        <w:t xml:space="preserve">The control and trial runs are plotted showing </w:t>
      </w:r>
      <w:r>
        <w:rPr>
          <w:rFonts w:asciiTheme="minorHAnsi" w:hAnsiTheme="minorHAnsi" w:cstheme="minorHAnsi"/>
          <w:sz w:val="19"/>
          <w:szCs w:val="19"/>
        </w:rPr>
        <w:t>log</w:t>
      </w:r>
      <w:r>
        <w:rPr>
          <w:rFonts w:asciiTheme="minorHAnsi" w:hAnsiTheme="minorHAnsi" w:cstheme="minorHAnsi"/>
          <w:sz w:val="19"/>
          <w:szCs w:val="19"/>
        </w:rPr>
        <w:t xml:space="preserve"> reduction in viable bioaerosol for each organism. All data </w:t>
      </w:r>
      <w:r>
        <w:rPr>
          <w:rFonts w:asciiTheme="minorHAnsi" w:hAnsiTheme="minorHAnsi" w:cstheme="minorHAnsi"/>
          <w:sz w:val="19"/>
          <w:szCs w:val="19"/>
        </w:rPr>
        <w:t>is</w:t>
      </w:r>
      <w:r>
        <w:rPr>
          <w:rFonts w:asciiTheme="minorHAnsi" w:hAnsiTheme="minorHAnsi" w:cstheme="minorHAnsi"/>
          <w:sz w:val="19"/>
          <w:szCs w:val="19"/>
        </w:rPr>
        <w:t xml:space="preserve"> normalized with time zero enumerated concentrations. Subsequent samples are normalized and plotted to show the loss of viability over tim</w:t>
      </w:r>
      <w:r>
        <w:rPr>
          <w:rFonts w:asciiTheme="minorHAnsi" w:hAnsiTheme="minorHAnsi" w:cstheme="minorHAnsi"/>
          <w:sz w:val="19"/>
          <w:szCs w:val="19"/>
        </w:rPr>
        <w:t>e</w:t>
      </w:r>
    </w:p>
    <w:p>
      <w:pPr>
        <w:ind w:firstLine="360"/>
        <w:jc w:val="both"/>
        <w:rPr>
          <w:rFonts w:asciiTheme="minorHAnsi" w:hAnsiTheme="minorHAnsi" w:cstheme="minorHAnsi"/>
          <w:sz w:val="19"/>
          <w:szCs w:val="19"/>
        </w:rPr>
      </w:pPr>
    </w:p>
    <w:p>
      <w:pPr>
        <w:jc w:val="both"/>
        <w:rPr>
          <w:rFonts w:asciiTheme="minorHAnsi" w:hAnsiTheme="minorHAnsi" w:cstheme="minorHAnsi"/>
          <w:b/>
          <w:sz w:val="20"/>
          <w:szCs w:val="20"/>
        </w:rPr>
      </w:pPr>
      <w:r>
        <w:rPr>
          <w:rFonts w:asciiTheme="minorHAnsi" w:hAnsiTheme="minorHAnsi" w:cstheme="minorHAnsi"/>
          <w:b/>
          <w:sz w:val="20"/>
          <w:szCs w:val="20"/>
        </w:rPr>
        <w:t>Methods: Bioaerosol Efficacy Testing</w:t>
      </w:r>
    </w:p>
    <w:p>
      <w:pPr>
        <w:jc w:val="both"/>
        <w:rPr>
          <w:rFonts w:asciiTheme="minorHAnsi" w:hAnsiTheme="minorHAnsi" w:cstheme="minorHAnsi"/>
          <w:sz w:val="18"/>
          <w:szCs w:val="20"/>
        </w:rPr>
      </w:pPr>
    </w:p>
    <w:p>
      <w:pPr>
        <w:ind w:firstLine="360"/>
        <w:jc w:val="both"/>
        <w:rPr>
          <w:rFonts w:asciiTheme="minorHAnsi" w:hAnsiTheme="minorHAnsi" w:cstheme="minorHAnsi"/>
          <w:sz w:val="19"/>
          <w:szCs w:val="19"/>
        </w:rPr>
      </w:pPr>
      <w:r>
        <w:rPr>
          <w:rFonts w:asciiTheme="minorHAnsi" w:hAnsiTheme="minorHAnsi" w:cstheme="minorHAnsi"/>
          <w:sz w:val="19"/>
          <w:szCs w:val="19"/>
        </w:rPr>
        <w:t xml:space="preserve">To accurately assess the </w:t>
      </w:r>
      <w:r>
        <w:rPr>
          <w:rFonts w:asciiTheme="minorHAnsi" w:hAnsiTheme="minorHAnsi" w:cstheme="minorHAnsi"/>
          <w:sz w:val="19"/>
          <w:szCs w:val="19"/>
        </w:rPr>
        <w:t>VKPro</w:t>
      </w:r>
      <w:r>
        <w:rPr>
          <w:rFonts w:asciiTheme="minorHAnsi" w:hAnsiTheme="minorHAnsi" w:cstheme="minorHAnsi"/>
          <w:sz w:val="19"/>
          <w:szCs w:val="19"/>
        </w:rPr>
        <w:t xml:space="preserve"> unit, test chamber pilot control trials were performed with all organisms over a 120-minute time period to characterize the biological challenge aerosol delivery/collection efficiency, and viable concentration over time.</w:t>
      </w:r>
      <w:r>
        <w:rPr>
          <w:rFonts w:asciiTheme="minorHAnsi" w:hAnsiTheme="minorHAnsi" w:cstheme="minorHAnsi"/>
          <w:sz w:val="19"/>
          <w:szCs w:val="19"/>
        </w:rPr>
        <w:t xml:space="preserve"> </w:t>
      </w:r>
      <w:r>
        <w:rPr>
          <w:rFonts w:asciiTheme="minorHAnsi" w:hAnsiTheme="minorHAnsi" w:cstheme="minorHAnsi"/>
          <w:sz w:val="19"/>
          <w:szCs w:val="19"/>
        </w:rPr>
        <w:t xml:space="preserve">Control testing was performed to provide baseline comparative data in order to assess the actual reduction from the </w:t>
      </w:r>
      <w:r>
        <w:rPr>
          <w:rFonts w:asciiTheme="minorHAnsi" w:hAnsiTheme="minorHAnsi" w:cstheme="minorHAnsi"/>
          <w:sz w:val="19"/>
          <w:szCs w:val="19"/>
        </w:rPr>
        <w:t>VKPro</w:t>
      </w:r>
      <w:r>
        <w:rPr>
          <w:rFonts w:asciiTheme="minorHAnsi" w:hAnsiTheme="minorHAnsi" w:cstheme="minorHAnsi"/>
          <w:sz w:val="19"/>
          <w:szCs w:val="19"/>
        </w:rPr>
        <w:t xml:space="preserve"> challenge testing and verify that viable bioaerosol concentrations persisted above the required concentrations over the entire pilot control test period.</w:t>
      </w:r>
      <w:r>
        <w:rPr>
          <w:rFonts w:asciiTheme="minorHAnsi" w:hAnsiTheme="minorHAnsi" w:cstheme="minorHAnsi"/>
          <w:sz w:val="19"/>
          <w:szCs w:val="19"/>
        </w:rPr>
        <w:t xml:space="preserve"> </w:t>
      </w:r>
      <w:r>
        <w:rPr>
          <w:rFonts w:asciiTheme="minorHAnsi" w:hAnsiTheme="minorHAnsi" w:cstheme="minorHAnsi"/>
          <w:sz w:val="19"/>
          <w:szCs w:val="19"/>
        </w:rPr>
        <w:t>During control runs, a single low velocity fan</w:t>
      </w:r>
      <w:r>
        <w:rPr>
          <w:rFonts w:asciiTheme="minorHAnsi" w:hAnsiTheme="minorHAnsi" w:cstheme="minorHAnsi"/>
          <w:sz w:val="19"/>
          <w:szCs w:val="19"/>
        </w:rPr>
        <w:t>,</w:t>
      </w:r>
      <w:r>
        <w:rPr>
          <w:rFonts w:asciiTheme="minorHAnsi" w:hAnsiTheme="minorHAnsi" w:cstheme="minorHAnsi"/>
          <w:sz w:val="19"/>
          <w:szCs w:val="19"/>
        </w:rPr>
        <w:t xml:space="preserve"> located in the corner of the bioaerosol test chamber was turned on for the duration of </w:t>
      </w:r>
      <w:r>
        <w:rPr>
          <w:rFonts w:asciiTheme="minorHAnsi" w:hAnsiTheme="minorHAnsi" w:cstheme="minorHAnsi"/>
          <w:sz w:val="19"/>
          <w:szCs w:val="19"/>
        </w:rPr>
        <w:t xml:space="preserve">the </w:t>
      </w:r>
      <w:r>
        <w:rPr>
          <w:rFonts w:asciiTheme="minorHAnsi" w:hAnsiTheme="minorHAnsi" w:cstheme="minorHAnsi"/>
          <w:sz w:val="19"/>
          <w:szCs w:val="19"/>
        </w:rPr>
        <w:t xml:space="preserve">trial to ensure a homogenous aerosol concentration within the aerosol chamber.  The mixing fan was used for all control runs and was turned off during </w:t>
      </w:r>
      <w:r>
        <w:rPr>
          <w:rFonts w:asciiTheme="minorHAnsi" w:hAnsiTheme="minorHAnsi" w:cstheme="minorHAnsi"/>
          <w:sz w:val="19"/>
          <w:szCs w:val="19"/>
        </w:rPr>
        <w:t>VKPro</w:t>
      </w:r>
      <w:r>
        <w:rPr>
          <w:rFonts w:asciiTheme="minorHAnsi" w:hAnsiTheme="minorHAnsi" w:cstheme="minorHAnsi"/>
          <w:sz w:val="19"/>
          <w:szCs w:val="19"/>
        </w:rPr>
        <w:t xml:space="preserve"> decontamination trials.  The two impingers used for bioaerosol collection were pooled and mixed prior to plating and enumeration.  A complete test matrix for </w:t>
      </w:r>
      <w:r>
        <w:rPr>
          <w:rFonts w:asciiTheme="minorHAnsi" w:hAnsiTheme="minorHAnsi" w:cstheme="minorHAnsi"/>
          <w:sz w:val="19"/>
          <w:szCs w:val="19"/>
        </w:rPr>
        <w:t xml:space="preserve">the </w:t>
      </w:r>
      <w:r>
        <w:rPr>
          <w:rFonts w:asciiTheme="minorHAnsi" w:hAnsiTheme="minorHAnsi" w:cstheme="minorHAnsi"/>
          <w:sz w:val="19"/>
          <w:szCs w:val="19"/>
        </w:rPr>
        <w:t xml:space="preserve">bioaerosol trials can be found in </w:t>
      </w:r>
      <w:r>
        <w:rPr>
          <w:rFonts w:asciiTheme="minorHAnsi" w:hAnsiTheme="minorHAnsi" w:cstheme="minorHAnsi"/>
          <w:b/>
          <w:bCs/>
          <w:color w:val="0070C0"/>
          <w:sz w:val="19"/>
          <w:szCs w:val="19"/>
        </w:rPr>
        <w:t>Table I</w:t>
      </w:r>
      <w:r>
        <w:rPr>
          <w:rFonts w:asciiTheme="minorHAnsi" w:hAnsiTheme="minorHAnsi" w:cstheme="minorHAnsi"/>
          <w:bCs/>
          <w:sz w:val="19"/>
          <w:szCs w:val="19"/>
        </w:rPr>
        <w:t xml:space="preserve"> above</w:t>
      </w:r>
      <w:r>
        <w:rPr>
          <w:rFonts w:asciiTheme="minorHAnsi" w:hAnsiTheme="minorHAnsi" w:cstheme="minorHAnsi"/>
          <w:sz w:val="19"/>
          <w:szCs w:val="19"/>
        </w:rPr>
        <w:t>.</w:t>
      </w:r>
    </w:p>
    <w:p>
      <w:pPr>
        <w:rPr>
          <w:rFonts w:asciiTheme="minorHAnsi" w:hAnsiTheme="minorHAnsi" w:cstheme="minorHAnsi"/>
          <w:sz w:val="20"/>
          <w:szCs w:val="20"/>
        </w:rPr>
      </w:pPr>
    </w:p>
    <w:p>
      <w:pPr>
        <w:ind w:firstLine="360"/>
        <w:jc w:val="both"/>
        <w:rPr>
          <w:rFonts w:asciiTheme="minorHAnsi" w:hAnsiTheme="minorHAnsi" w:cstheme="minorHAnsi"/>
          <w:sz w:val="19"/>
          <w:szCs w:val="19"/>
        </w:rPr>
      </w:pPr>
      <w:r>
        <w:rPr>
          <w:rFonts w:asciiTheme="minorHAnsi" w:hAnsiTheme="minorHAnsi" w:cstheme="minorHAnsi"/>
          <w:sz w:val="19"/>
          <w:szCs w:val="19"/>
        </w:rPr>
        <w:t xml:space="preserve">For each control and challenge test, the Collison nebulizer was filled with </w:t>
      </w:r>
      <w:r>
        <w:rPr>
          <w:rFonts w:asciiTheme="minorHAnsi" w:hAnsiTheme="minorHAnsi" w:cstheme="minorHAnsi"/>
          <w:sz w:val="19"/>
          <w:szCs w:val="19"/>
        </w:rPr>
        <w:t>a</w:t>
      </w:r>
      <w:r>
        <w:rPr>
          <w:rFonts w:asciiTheme="minorHAnsi" w:hAnsiTheme="minorHAnsi" w:cstheme="minorHAnsi"/>
          <w:sz w:val="19"/>
          <w:szCs w:val="19"/>
        </w:rPr>
        <w:t>pproximately</w:t>
      </w:r>
      <w:r>
        <w:rPr>
          <w:rFonts w:asciiTheme="minorHAnsi" w:hAnsiTheme="minorHAnsi" w:cstheme="minorHAnsi"/>
          <w:sz w:val="19"/>
          <w:szCs w:val="19"/>
        </w:rPr>
        <w:t xml:space="preserve"> </w:t>
      </w:r>
      <w:r>
        <w:rPr>
          <w:rFonts w:asciiTheme="minorHAnsi" w:hAnsiTheme="minorHAnsi" w:cstheme="minorHAnsi"/>
          <w:sz w:val="19"/>
          <w:szCs w:val="19"/>
        </w:rPr>
        <w:t xml:space="preserve">40 mL of </w:t>
      </w:r>
      <w:r>
        <w:rPr>
          <w:rFonts w:asciiTheme="minorHAnsi" w:hAnsiTheme="minorHAnsi" w:cstheme="minorHAnsi"/>
          <w:sz w:val="19"/>
          <w:szCs w:val="19"/>
        </w:rPr>
        <w:t>bio</w:t>
      </w:r>
      <w:r>
        <w:rPr>
          <w:rFonts w:asciiTheme="minorHAnsi" w:hAnsiTheme="minorHAnsi" w:cstheme="minorHAnsi"/>
          <w:sz w:val="19"/>
          <w:szCs w:val="19"/>
        </w:rPr>
        <w:t>log</w:t>
      </w:r>
      <w:r>
        <w:rPr>
          <w:rFonts w:asciiTheme="minorHAnsi" w:hAnsiTheme="minorHAnsi" w:cstheme="minorHAnsi"/>
          <w:sz w:val="19"/>
          <w:szCs w:val="19"/>
        </w:rPr>
        <w:t>ical</w:t>
      </w:r>
      <w:r>
        <w:rPr>
          <w:rFonts w:asciiTheme="minorHAnsi" w:hAnsiTheme="minorHAnsi" w:cstheme="minorHAnsi"/>
          <w:sz w:val="19"/>
          <w:szCs w:val="19"/>
        </w:rPr>
        <w:t xml:space="preserve"> stock and operated at </w:t>
      </w:r>
      <w:r>
        <w:rPr>
          <w:rFonts w:asciiTheme="minorHAnsi" w:hAnsiTheme="minorHAnsi" w:cstheme="minorHAnsi"/>
          <w:sz w:val="19"/>
          <w:szCs w:val="19"/>
        </w:rPr>
        <w:t>4</w:t>
      </w:r>
      <w:r>
        <w:rPr>
          <w:rFonts w:asciiTheme="minorHAnsi" w:hAnsiTheme="minorHAnsi" w:cstheme="minorHAnsi"/>
          <w:sz w:val="19"/>
          <w:szCs w:val="19"/>
        </w:rPr>
        <w:t>0</w:t>
      </w:r>
      <w:r>
        <w:rPr>
          <w:rFonts w:asciiTheme="minorHAnsi" w:hAnsiTheme="minorHAnsi" w:cstheme="minorHAnsi"/>
          <w:sz w:val="19"/>
          <w:szCs w:val="19"/>
        </w:rPr>
        <w:t xml:space="preserve"> psi </w:t>
      </w:r>
      <w:r>
        <w:rPr>
          <w:rFonts w:asciiTheme="minorHAnsi" w:hAnsiTheme="minorHAnsi" w:cstheme="minorHAnsi"/>
          <w:sz w:val="19"/>
          <w:szCs w:val="19"/>
        </w:rPr>
        <w:t xml:space="preserve">for a </w:t>
      </w:r>
      <w:r>
        <w:rPr>
          <w:rFonts w:asciiTheme="minorHAnsi" w:hAnsiTheme="minorHAnsi" w:cstheme="minorHAnsi"/>
          <w:sz w:val="19"/>
          <w:szCs w:val="19"/>
        </w:rPr>
        <w:t xml:space="preserve">period of </w:t>
      </w:r>
      <w:r>
        <w:rPr>
          <w:rFonts w:asciiTheme="minorHAnsi" w:hAnsiTheme="minorHAnsi" w:cstheme="minorHAnsi"/>
          <w:sz w:val="19"/>
          <w:szCs w:val="19"/>
        </w:rPr>
        <w:t>20</w:t>
      </w:r>
      <w:r>
        <w:rPr>
          <w:rFonts w:asciiTheme="minorHAnsi" w:hAnsiTheme="minorHAnsi" w:cstheme="minorHAnsi"/>
          <w:sz w:val="19"/>
          <w:szCs w:val="19"/>
        </w:rPr>
        <w:t xml:space="preserve"> minutes</w:t>
      </w:r>
      <w:r>
        <w:rPr>
          <w:rFonts w:asciiTheme="minorHAnsi" w:hAnsiTheme="minorHAnsi" w:cstheme="minorHAnsi"/>
          <w:sz w:val="19"/>
          <w:szCs w:val="19"/>
        </w:rPr>
        <w:t>.</w:t>
      </w:r>
      <w:r>
        <w:rPr>
          <w:rFonts w:asciiTheme="minorHAnsi" w:hAnsiTheme="minorHAnsi" w:cstheme="minorHAnsi"/>
          <w:sz w:val="19"/>
          <w:szCs w:val="19"/>
        </w:rPr>
        <w:t xml:space="preserve"> </w:t>
      </w:r>
      <w:r>
        <w:rPr>
          <w:rFonts w:asciiTheme="minorHAnsi" w:hAnsiTheme="minorHAnsi" w:cstheme="minorHAnsi"/>
          <w:sz w:val="19"/>
          <w:szCs w:val="19"/>
        </w:rPr>
        <w:t>Then</w:t>
      </w:r>
      <w:r>
        <w:rPr>
          <w:rFonts w:asciiTheme="minorHAnsi" w:hAnsiTheme="minorHAnsi" w:cstheme="minorHAnsi"/>
          <w:sz w:val="19"/>
          <w:szCs w:val="19"/>
        </w:rPr>
        <w:t>, the impingers were filled with 20 mL of steriliz</w:t>
      </w:r>
      <w:r>
        <w:rPr>
          <w:rFonts w:asciiTheme="minorHAnsi" w:hAnsiTheme="minorHAnsi" w:cstheme="minorHAnsi"/>
          <w:sz w:val="19"/>
          <w:szCs w:val="19"/>
        </w:rPr>
        <w:t xml:space="preserve">ed PBS </w:t>
      </w:r>
      <w:r>
        <w:rPr>
          <w:rFonts w:asciiTheme="minorHAnsi" w:hAnsiTheme="minorHAnsi" w:cstheme="minorHAnsi"/>
          <w:sz w:val="19"/>
          <w:szCs w:val="19"/>
        </w:rPr>
        <w:t xml:space="preserve">with an </w:t>
      </w:r>
      <w:r>
        <w:rPr>
          <w:rFonts w:asciiTheme="minorHAnsi" w:hAnsiTheme="minorHAnsi" w:cstheme="minorHAnsi"/>
          <w:sz w:val="19"/>
          <w:szCs w:val="19"/>
        </w:rPr>
        <w:t>addition o</w:t>
      </w:r>
      <w:r>
        <w:rPr>
          <w:rFonts w:asciiTheme="minorHAnsi" w:hAnsiTheme="minorHAnsi" w:cstheme="minorHAnsi"/>
          <w:sz w:val="19"/>
          <w:szCs w:val="19"/>
        </w:rPr>
        <w:t>f 0.0</w:t>
      </w:r>
      <w:r>
        <w:rPr>
          <w:rFonts w:asciiTheme="minorHAnsi" w:hAnsiTheme="minorHAnsi" w:cstheme="minorHAnsi"/>
          <w:sz w:val="19"/>
          <w:szCs w:val="19"/>
        </w:rPr>
        <w:t>05</w:t>
      </w:r>
      <w:r>
        <w:rPr>
          <w:rFonts w:asciiTheme="minorHAnsi" w:hAnsiTheme="minorHAnsi" w:cstheme="minorHAnsi"/>
          <w:sz w:val="19"/>
          <w:szCs w:val="19"/>
        </w:rPr>
        <w:t>% v/v T</w:t>
      </w:r>
      <w:r>
        <w:rPr>
          <w:rFonts w:asciiTheme="minorHAnsi" w:hAnsiTheme="minorHAnsi" w:cstheme="minorHAnsi"/>
          <w:sz w:val="19"/>
          <w:szCs w:val="19"/>
        </w:rPr>
        <w:t>ween 80 for bio</w:t>
      </w:r>
      <w:r>
        <w:rPr>
          <w:rFonts w:asciiTheme="minorHAnsi" w:hAnsiTheme="minorHAnsi" w:cstheme="minorHAnsi"/>
          <w:sz w:val="19"/>
          <w:szCs w:val="19"/>
        </w:rPr>
        <w:t>aeros</w:t>
      </w:r>
      <w:r>
        <w:rPr>
          <w:rFonts w:asciiTheme="minorHAnsi" w:hAnsiTheme="minorHAnsi" w:cstheme="minorHAnsi"/>
          <w:sz w:val="19"/>
          <w:szCs w:val="19"/>
        </w:rPr>
        <w:t>ol collection. The addition of T</w:t>
      </w:r>
      <w:r>
        <w:rPr>
          <w:rFonts w:asciiTheme="minorHAnsi" w:hAnsiTheme="minorHAnsi" w:cstheme="minorHAnsi"/>
          <w:sz w:val="19"/>
          <w:szCs w:val="19"/>
        </w:rPr>
        <w:t xml:space="preserve">ween 80 was </w:t>
      </w:r>
      <w:r>
        <w:rPr>
          <w:rFonts w:asciiTheme="minorHAnsi" w:hAnsiTheme="minorHAnsi" w:cstheme="minorHAnsi"/>
          <w:sz w:val="19"/>
          <w:szCs w:val="19"/>
        </w:rPr>
        <w:t xml:space="preserve">used in order </w:t>
      </w:r>
      <w:r>
        <w:rPr>
          <w:rFonts w:asciiTheme="minorHAnsi" w:hAnsiTheme="minorHAnsi" w:cstheme="minorHAnsi"/>
          <w:sz w:val="19"/>
          <w:szCs w:val="19"/>
        </w:rPr>
        <w:t>to increase the</w:t>
      </w:r>
      <w:r>
        <w:rPr>
          <w:rFonts w:asciiTheme="minorHAnsi" w:hAnsiTheme="minorHAnsi" w:cstheme="minorHAnsi"/>
          <w:sz w:val="19"/>
          <w:szCs w:val="19"/>
        </w:rPr>
        <w:t xml:space="preserve"> </w:t>
      </w:r>
      <w:r>
        <w:rPr>
          <w:rFonts w:asciiTheme="minorHAnsi" w:hAnsiTheme="minorHAnsi" w:cstheme="minorHAnsi"/>
          <w:sz w:val="19"/>
          <w:szCs w:val="19"/>
        </w:rPr>
        <w:t xml:space="preserve">impinger collection efficiency </w:t>
      </w:r>
      <w:r>
        <w:rPr>
          <w:rFonts w:asciiTheme="minorHAnsi" w:hAnsiTheme="minorHAnsi" w:cstheme="minorHAnsi"/>
          <w:sz w:val="19"/>
          <w:szCs w:val="19"/>
        </w:rPr>
        <w:t>and de</w:t>
      </w:r>
      <w:r>
        <w:rPr>
          <w:rFonts w:asciiTheme="minorHAnsi" w:hAnsiTheme="minorHAnsi" w:cstheme="minorHAnsi"/>
          <w:sz w:val="19"/>
          <w:szCs w:val="19"/>
        </w:rPr>
        <w:t>-</w:t>
      </w:r>
      <w:r>
        <w:rPr>
          <w:rFonts w:asciiTheme="minorHAnsi" w:hAnsiTheme="minorHAnsi" w:cstheme="minorHAnsi"/>
          <w:sz w:val="19"/>
          <w:szCs w:val="19"/>
        </w:rPr>
        <w:t>ag</w:t>
      </w:r>
      <w:r>
        <w:rPr>
          <w:rFonts w:asciiTheme="minorHAnsi" w:hAnsiTheme="minorHAnsi" w:cstheme="minorHAnsi"/>
          <w:sz w:val="19"/>
          <w:szCs w:val="19"/>
        </w:rPr>
        <w:t>g</w:t>
      </w:r>
      <w:r>
        <w:rPr>
          <w:rFonts w:asciiTheme="minorHAnsi" w:hAnsiTheme="minorHAnsi" w:cstheme="minorHAnsi"/>
          <w:sz w:val="19"/>
          <w:szCs w:val="19"/>
        </w:rPr>
        <w:t xml:space="preserve">lomeration of </w:t>
      </w:r>
      <w:r>
        <w:rPr>
          <w:rFonts w:asciiTheme="minorHAnsi" w:hAnsiTheme="minorHAnsi" w:cstheme="minorHAnsi"/>
          <w:sz w:val="19"/>
          <w:szCs w:val="19"/>
        </w:rPr>
        <w:t>all microorganisms</w:t>
      </w:r>
      <w:r>
        <w:rPr>
          <w:rFonts w:asciiTheme="minorHAnsi" w:hAnsiTheme="minorHAnsi" w:cstheme="minorHAnsi"/>
          <w:sz w:val="19"/>
          <w:szCs w:val="19"/>
        </w:rPr>
        <w:t>.</w:t>
      </w:r>
      <w:r>
        <w:rPr>
          <w:rFonts w:asciiTheme="minorHAnsi" w:hAnsiTheme="minorHAnsi" w:cstheme="minorHAnsi"/>
          <w:sz w:val="19"/>
          <w:szCs w:val="19"/>
        </w:rPr>
        <w:t xml:space="preserve"> </w:t>
      </w:r>
      <w:r>
        <w:rPr>
          <w:rFonts w:asciiTheme="minorHAnsi" w:hAnsiTheme="minorHAnsi" w:cstheme="minorHAnsi"/>
          <w:sz w:val="19"/>
          <w:szCs w:val="19"/>
        </w:rPr>
        <w:t>The c</w:t>
      </w:r>
      <w:r>
        <w:rPr>
          <w:rFonts w:asciiTheme="minorHAnsi" w:hAnsiTheme="minorHAnsi" w:cstheme="minorHAnsi"/>
          <w:sz w:val="19"/>
          <w:szCs w:val="19"/>
        </w:rPr>
        <w:t>hamber m</w:t>
      </w:r>
      <w:r>
        <w:rPr>
          <w:rFonts w:asciiTheme="minorHAnsi" w:hAnsiTheme="minorHAnsi" w:cstheme="minorHAnsi"/>
          <w:sz w:val="19"/>
          <w:szCs w:val="19"/>
        </w:rPr>
        <w:t>ixing fan</w:t>
      </w:r>
      <w:r>
        <w:rPr>
          <w:rFonts w:asciiTheme="minorHAnsi" w:hAnsiTheme="minorHAnsi" w:cstheme="minorHAnsi"/>
          <w:sz w:val="19"/>
          <w:szCs w:val="19"/>
        </w:rPr>
        <w:t xml:space="preserve"> </w:t>
      </w:r>
      <w:r>
        <w:rPr>
          <w:rFonts w:asciiTheme="minorHAnsi" w:hAnsiTheme="minorHAnsi" w:cstheme="minorHAnsi"/>
          <w:sz w:val="19"/>
          <w:szCs w:val="19"/>
        </w:rPr>
        <w:t>was</w:t>
      </w:r>
      <w:r>
        <w:rPr>
          <w:rFonts w:asciiTheme="minorHAnsi" w:hAnsiTheme="minorHAnsi" w:cstheme="minorHAnsi"/>
          <w:sz w:val="19"/>
          <w:szCs w:val="19"/>
        </w:rPr>
        <w:t xml:space="preserve"> </w:t>
      </w:r>
      <w:r>
        <w:rPr>
          <w:rFonts w:asciiTheme="minorHAnsi" w:hAnsiTheme="minorHAnsi" w:cstheme="minorHAnsi"/>
          <w:sz w:val="19"/>
          <w:szCs w:val="19"/>
        </w:rPr>
        <w:t>turned on</w:t>
      </w:r>
      <w:r>
        <w:rPr>
          <w:rFonts w:asciiTheme="minorHAnsi" w:hAnsiTheme="minorHAnsi" w:cstheme="minorHAnsi"/>
          <w:sz w:val="19"/>
          <w:szCs w:val="19"/>
        </w:rPr>
        <w:t xml:space="preserve"> during bioaerosol dissemination </w:t>
      </w:r>
      <w:r>
        <w:rPr>
          <w:rFonts w:asciiTheme="minorHAnsi" w:hAnsiTheme="minorHAnsi" w:cstheme="minorHAnsi"/>
          <w:sz w:val="19"/>
          <w:szCs w:val="19"/>
        </w:rPr>
        <w:t>to assure a homogeneous bioaerosol concentration in the test chamber</w:t>
      </w:r>
      <w:r>
        <w:rPr>
          <w:rFonts w:asciiTheme="minorHAnsi" w:hAnsiTheme="minorHAnsi" w:cstheme="minorHAnsi"/>
          <w:sz w:val="19"/>
          <w:szCs w:val="19"/>
        </w:rPr>
        <w:t xml:space="preserve"> prior to </w:t>
      </w:r>
      <w:r>
        <w:rPr>
          <w:rFonts w:asciiTheme="minorHAnsi" w:hAnsiTheme="minorHAnsi" w:cstheme="minorHAnsi"/>
          <w:sz w:val="19"/>
          <w:szCs w:val="19"/>
        </w:rPr>
        <w:t xml:space="preserve">taking </w:t>
      </w:r>
      <w:r>
        <w:rPr>
          <w:rFonts w:asciiTheme="minorHAnsi" w:hAnsiTheme="minorHAnsi" w:cstheme="minorHAnsi"/>
          <w:sz w:val="19"/>
          <w:szCs w:val="19"/>
        </w:rPr>
        <w:t>the first impinger sample</w:t>
      </w:r>
      <w:r>
        <w:rPr>
          <w:rFonts w:asciiTheme="minorHAnsi" w:hAnsiTheme="minorHAnsi" w:cstheme="minorHAnsi"/>
          <w:sz w:val="19"/>
          <w:szCs w:val="19"/>
        </w:rPr>
        <w:t xml:space="preserve"> (T=0)</w:t>
      </w:r>
      <w:r>
        <w:rPr>
          <w:rFonts w:asciiTheme="minorHAnsi" w:hAnsiTheme="minorHAnsi" w:cstheme="minorHAnsi"/>
          <w:sz w:val="19"/>
          <w:szCs w:val="19"/>
        </w:rPr>
        <w:t>.</w:t>
      </w:r>
    </w:p>
    <w:p>
      <w:pPr>
        <w:jc w:val="both"/>
        <w:rPr>
          <w:rFonts w:asciiTheme="minorHAnsi" w:hAnsiTheme="minorHAnsi" w:cstheme="minorHAnsi"/>
          <w:sz w:val="19"/>
          <w:szCs w:val="19"/>
        </w:rPr>
      </w:pPr>
    </w:p>
    <w:p>
      <w:pPr>
        <w:ind w:firstLine="360"/>
        <w:jc w:val="both"/>
        <w:rPr>
          <w:rFonts w:asciiTheme="minorHAnsi" w:hAnsiTheme="minorHAnsi" w:cstheme="minorHAnsi"/>
          <w:b/>
          <w:sz w:val="19"/>
          <w:szCs w:val="19"/>
        </w:rPr>
      </w:pPr>
      <w:r>
        <w:rPr>
          <w:rFonts w:asciiTheme="minorHAnsi" w:hAnsiTheme="minorHAnsi" w:cstheme="minorHAnsi"/>
          <w:sz w:val="19"/>
          <w:szCs w:val="19"/>
        </w:rPr>
        <w:t xml:space="preserve">Following bioaerosol generation, baseline bioaerosol concentrations were established for each pilot control and </w:t>
      </w:r>
      <w:r>
        <w:rPr>
          <w:rFonts w:asciiTheme="minorHAnsi" w:hAnsiTheme="minorHAnsi" w:cstheme="minorHAnsi"/>
          <w:sz w:val="19"/>
          <w:szCs w:val="19"/>
        </w:rPr>
        <w:t>VKPro</w:t>
      </w:r>
      <w:r>
        <w:rPr>
          <w:rFonts w:asciiTheme="minorHAnsi" w:hAnsiTheme="minorHAnsi" w:cstheme="minorHAnsi"/>
          <w:sz w:val="19"/>
          <w:szCs w:val="19"/>
        </w:rPr>
        <w:t xml:space="preserve"> </w:t>
      </w:r>
      <w:r>
        <w:rPr>
          <w:rFonts w:asciiTheme="minorHAnsi" w:hAnsiTheme="minorHAnsi" w:cstheme="minorHAnsi"/>
          <w:sz w:val="19"/>
          <w:szCs w:val="19"/>
        </w:rPr>
        <w:t xml:space="preserve">test by sampling simultaneously with two AGI-30 impingers located at opposite corners of the chamber. </w:t>
      </w:r>
      <w:r>
        <w:rPr>
          <w:rFonts w:asciiTheme="minorHAnsi" w:hAnsiTheme="minorHAnsi" w:cstheme="minorHAnsi"/>
          <w:sz w:val="19"/>
          <w:szCs w:val="19"/>
        </w:rPr>
        <w:t>The</w:t>
      </w:r>
      <w:r>
        <w:rPr>
          <w:rFonts w:asciiTheme="minorHAnsi" w:hAnsiTheme="minorHAnsi" w:cstheme="minorHAnsi"/>
          <w:sz w:val="19"/>
          <w:szCs w:val="19"/>
        </w:rPr>
        <w:t xml:space="preserve"> </w:t>
      </w:r>
      <w:r>
        <w:rPr>
          <w:rFonts w:asciiTheme="minorHAnsi" w:hAnsiTheme="minorHAnsi" w:cstheme="minorHAnsi"/>
          <w:sz w:val="19"/>
          <w:szCs w:val="19"/>
        </w:rPr>
        <w:t>s</w:t>
      </w:r>
      <w:r>
        <w:rPr>
          <w:rFonts w:asciiTheme="minorHAnsi" w:hAnsiTheme="minorHAnsi" w:cstheme="minorHAnsi"/>
          <w:sz w:val="19"/>
          <w:szCs w:val="19"/>
        </w:rPr>
        <w:t xml:space="preserve">amples were collected for </w:t>
      </w:r>
      <w:r>
        <w:rPr>
          <w:rFonts w:asciiTheme="minorHAnsi" w:hAnsiTheme="minorHAnsi" w:cstheme="minorHAnsi"/>
          <w:sz w:val="19"/>
          <w:szCs w:val="19"/>
        </w:rPr>
        <w:t>3</w:t>
      </w:r>
      <w:r>
        <w:rPr>
          <w:rFonts w:asciiTheme="minorHAnsi" w:hAnsiTheme="minorHAnsi" w:cstheme="minorHAnsi"/>
          <w:sz w:val="19"/>
          <w:szCs w:val="19"/>
        </w:rPr>
        <w:t xml:space="preserve"> to</w:t>
      </w:r>
      <w:r>
        <w:rPr>
          <w:rFonts w:asciiTheme="minorHAnsi" w:hAnsiTheme="minorHAnsi" w:cstheme="minorHAnsi"/>
          <w:sz w:val="19"/>
          <w:szCs w:val="19"/>
        </w:rPr>
        <w:t xml:space="preserve"> </w:t>
      </w:r>
      <w:r>
        <w:rPr>
          <w:rFonts w:asciiTheme="minorHAnsi" w:hAnsiTheme="minorHAnsi" w:cstheme="minorHAnsi"/>
          <w:sz w:val="19"/>
          <w:szCs w:val="19"/>
        </w:rPr>
        <w:t>2</w:t>
      </w:r>
      <w:r>
        <w:rPr>
          <w:rFonts w:asciiTheme="minorHAnsi" w:hAnsiTheme="minorHAnsi" w:cstheme="minorHAnsi"/>
          <w:sz w:val="19"/>
          <w:szCs w:val="19"/>
        </w:rPr>
        <w:t>0</w:t>
      </w:r>
      <w:r>
        <w:rPr>
          <w:rFonts w:asciiTheme="minorHAnsi" w:hAnsiTheme="minorHAnsi" w:cstheme="minorHAnsi"/>
          <w:sz w:val="19"/>
          <w:szCs w:val="19"/>
        </w:rPr>
        <w:t xml:space="preserve"> minutes at intervals of </w:t>
      </w:r>
      <w:r>
        <w:rPr>
          <w:rFonts w:asciiTheme="minorHAnsi" w:hAnsiTheme="minorHAnsi" w:cstheme="minorHAnsi"/>
          <w:sz w:val="19"/>
          <w:szCs w:val="19"/>
        </w:rPr>
        <w:t>15 or 30</w:t>
      </w:r>
      <w:r>
        <w:rPr>
          <w:rFonts w:asciiTheme="minorHAnsi" w:hAnsiTheme="minorHAnsi" w:cstheme="minorHAnsi"/>
          <w:sz w:val="19"/>
          <w:szCs w:val="19"/>
        </w:rPr>
        <w:t xml:space="preserve"> minutes thr</w:t>
      </w:r>
      <w:r>
        <w:rPr>
          <w:rFonts w:asciiTheme="minorHAnsi" w:hAnsiTheme="minorHAnsi" w:cstheme="minorHAnsi"/>
          <w:sz w:val="19"/>
          <w:szCs w:val="19"/>
        </w:rPr>
        <w:t>oughout the entire test period.</w:t>
      </w:r>
    </w:p>
    <w:p>
      <w:pPr>
        <w:ind w:firstLine="360"/>
        <w:jc w:val="both"/>
        <w:rPr>
          <w:rFonts w:asciiTheme="minorHAnsi" w:hAnsiTheme="minorHAnsi" w:cstheme="minorHAnsi"/>
          <w:sz w:val="19"/>
          <w:szCs w:val="19"/>
        </w:rPr>
      </w:pPr>
    </w:p>
    <w:p>
      <w:pPr>
        <w:ind w:firstLine="360"/>
        <w:jc w:val="both"/>
        <w:rPr>
          <w:rFonts w:asciiTheme="minorHAnsi" w:hAnsiTheme="minorHAnsi" w:cstheme="minorHAnsi"/>
          <w:sz w:val="19"/>
          <w:szCs w:val="19"/>
        </w:rPr>
      </w:pPr>
      <w:r>
        <w:rPr>
          <w:rFonts w:asciiTheme="minorHAnsi" w:hAnsiTheme="minorHAnsi" w:cstheme="minorHAnsi"/>
          <w:sz w:val="19"/>
          <w:szCs w:val="19"/>
        </w:rPr>
        <w:t>Collected impinger chamber samples were pooled and mixed at each sample interval for each test.</w:t>
      </w:r>
      <w:r>
        <w:rPr>
          <w:rFonts w:asciiTheme="minorHAnsi" w:hAnsiTheme="minorHAnsi" w:cstheme="minorHAnsi"/>
          <w:sz w:val="19"/>
          <w:szCs w:val="19"/>
        </w:rPr>
        <w:t xml:space="preserve"> </w:t>
      </w:r>
      <w:r>
        <w:rPr>
          <w:rFonts w:asciiTheme="minorHAnsi" w:hAnsiTheme="minorHAnsi" w:cstheme="minorHAnsi"/>
          <w:sz w:val="19"/>
          <w:szCs w:val="19"/>
        </w:rPr>
        <w:t>Aliquots of impinger samples were collected and then used for plating. Impingers were rinsed 6x with sterile filtered water between each sampling interval, and re-filled with sterile PBS using sterile graduated p</w:t>
      </w:r>
      <w:r>
        <w:rPr>
          <w:rFonts w:asciiTheme="minorHAnsi" w:hAnsiTheme="minorHAnsi" w:cstheme="minorHAnsi"/>
          <w:sz w:val="19"/>
          <w:szCs w:val="19"/>
        </w:rPr>
        <w:t>ipettes for sample collection.</w:t>
      </w:r>
      <w:r>
        <w:rPr>
          <w:rFonts w:asciiTheme="minorHAnsi" w:hAnsiTheme="minorHAnsi" w:cstheme="minorHAnsi"/>
          <w:sz w:val="19"/>
          <w:szCs w:val="19"/>
        </w:rPr>
        <w:t xml:space="preserve"> During the final 2-3 time points, a viable cascade was used to further increase the limits of detection for the testing.</w:t>
      </w:r>
    </w:p>
    <w:p>
      <w:pPr>
        <w:ind w:firstLine="360"/>
        <w:jc w:val="both"/>
        <w:rPr>
          <w:rFonts w:asciiTheme="minorHAnsi" w:hAnsiTheme="minorHAnsi" w:cstheme="minorHAnsi"/>
          <w:i/>
          <w:sz w:val="20"/>
          <w:szCs w:val="20"/>
        </w:rPr>
      </w:pPr>
    </w:p>
    <w:p>
      <w:pPr>
        <w:ind w:firstLine="360"/>
        <w:jc w:val="both"/>
        <w:rPr>
          <w:rFonts w:asciiTheme="minorHAnsi" w:hAnsiTheme="minorHAnsi" w:cstheme="minorHAnsi"/>
          <w:sz w:val="19"/>
          <w:szCs w:val="19"/>
        </w:rPr>
      </w:pPr>
      <w:r>
        <w:rPr>
          <w:rFonts w:asciiTheme="minorHAnsi" w:hAnsiTheme="minorHAnsi" w:cstheme="minorHAnsi"/>
          <w:sz w:val="19"/>
          <w:szCs w:val="19"/>
        </w:rPr>
        <w:t xml:space="preserve">For </w:t>
      </w:r>
      <w:r>
        <w:rPr>
          <w:rFonts w:asciiTheme="minorHAnsi" w:hAnsiTheme="minorHAnsi" w:cstheme="minorHAnsi"/>
          <w:sz w:val="19"/>
          <w:szCs w:val="19"/>
        </w:rPr>
        <w:t>VKPro</w:t>
      </w:r>
      <w:r>
        <w:rPr>
          <w:rFonts w:asciiTheme="minorHAnsi" w:hAnsiTheme="minorHAnsi" w:cstheme="minorHAnsi"/>
          <w:sz w:val="19"/>
          <w:szCs w:val="19"/>
        </w:rPr>
        <w:t xml:space="preserve"> </w:t>
      </w:r>
      <w:r>
        <w:rPr>
          <w:rFonts w:asciiTheme="minorHAnsi" w:hAnsiTheme="minorHAnsi" w:cstheme="minorHAnsi"/>
          <w:sz w:val="19"/>
          <w:szCs w:val="19"/>
        </w:rPr>
        <w:t>bio</w:t>
      </w:r>
      <w:r>
        <w:rPr>
          <w:rFonts w:asciiTheme="minorHAnsi" w:hAnsiTheme="minorHAnsi" w:cstheme="minorHAnsi"/>
          <w:sz w:val="19"/>
          <w:szCs w:val="19"/>
        </w:rPr>
        <w:t>log</w:t>
      </w:r>
      <w:r>
        <w:rPr>
          <w:rFonts w:asciiTheme="minorHAnsi" w:hAnsiTheme="minorHAnsi" w:cstheme="minorHAnsi"/>
          <w:sz w:val="19"/>
          <w:szCs w:val="19"/>
        </w:rPr>
        <w:t>ical</w:t>
      </w:r>
      <w:r>
        <w:rPr>
          <w:rFonts w:asciiTheme="minorHAnsi" w:hAnsiTheme="minorHAnsi" w:cstheme="minorHAnsi"/>
          <w:sz w:val="19"/>
          <w:szCs w:val="19"/>
        </w:rPr>
        <w:t xml:space="preserve"> testing, the unit was turned on</w:t>
      </w:r>
      <w:r>
        <w:rPr>
          <w:rFonts w:asciiTheme="minorHAnsi" w:hAnsiTheme="minorHAnsi" w:cstheme="minorHAnsi"/>
          <w:sz w:val="19"/>
          <w:szCs w:val="19"/>
        </w:rPr>
        <w:t xml:space="preserve"> </w:t>
      </w:r>
      <w:r>
        <w:rPr>
          <w:rFonts w:asciiTheme="minorHAnsi" w:hAnsiTheme="minorHAnsi" w:cstheme="minorHAnsi"/>
          <w:sz w:val="19"/>
          <w:szCs w:val="19"/>
        </w:rPr>
        <w:t xml:space="preserve">immediately following a time 0 </w:t>
      </w:r>
      <w:r>
        <w:rPr>
          <w:rFonts w:asciiTheme="minorHAnsi" w:hAnsiTheme="minorHAnsi" w:cstheme="minorHAnsi"/>
          <w:sz w:val="19"/>
          <w:szCs w:val="19"/>
        </w:rPr>
        <w:t xml:space="preserve">(T=0) </w:t>
      </w:r>
      <w:r>
        <w:rPr>
          <w:rFonts w:asciiTheme="minorHAnsi" w:hAnsiTheme="minorHAnsi" w:cstheme="minorHAnsi"/>
          <w:sz w:val="19"/>
          <w:szCs w:val="19"/>
        </w:rPr>
        <w:t>baseline sample and operate</w:t>
      </w:r>
      <w:r>
        <w:rPr>
          <w:rFonts w:asciiTheme="minorHAnsi" w:hAnsiTheme="minorHAnsi" w:cstheme="minorHAnsi"/>
          <w:sz w:val="19"/>
          <w:szCs w:val="19"/>
        </w:rPr>
        <w:t>d for the entirety of the test</w:t>
      </w:r>
      <w:r>
        <w:rPr>
          <w:rFonts w:asciiTheme="minorHAnsi" w:hAnsiTheme="minorHAnsi" w:cstheme="minorHAnsi"/>
          <w:sz w:val="19"/>
          <w:szCs w:val="19"/>
        </w:rPr>
        <w:t xml:space="preserve">. Subsequent impinger samples </w:t>
      </w:r>
      <w:r>
        <w:rPr>
          <w:rFonts w:asciiTheme="minorHAnsi" w:hAnsiTheme="minorHAnsi" w:cstheme="minorHAnsi"/>
          <w:sz w:val="19"/>
          <w:szCs w:val="19"/>
        </w:rPr>
        <w:t xml:space="preserve">were taken at </w:t>
      </w:r>
      <w:r>
        <w:rPr>
          <w:rFonts w:asciiTheme="minorHAnsi" w:hAnsiTheme="minorHAnsi" w:cstheme="minorHAnsi"/>
          <w:sz w:val="19"/>
          <w:szCs w:val="19"/>
        </w:rPr>
        <w:t>various time</w:t>
      </w:r>
      <w:r>
        <w:rPr>
          <w:rFonts w:asciiTheme="minorHAnsi" w:hAnsiTheme="minorHAnsi" w:cstheme="minorHAnsi"/>
          <w:sz w:val="19"/>
          <w:szCs w:val="19"/>
        </w:rPr>
        <w:t xml:space="preserve"> </w:t>
      </w:r>
      <w:r>
        <w:rPr>
          <w:rFonts w:asciiTheme="minorHAnsi" w:hAnsiTheme="minorHAnsi" w:cstheme="minorHAnsi"/>
          <w:sz w:val="19"/>
          <w:szCs w:val="19"/>
        </w:rPr>
        <w:t xml:space="preserve">points throughout the trial. These </w:t>
      </w:r>
      <w:r>
        <w:rPr>
          <w:rFonts w:asciiTheme="minorHAnsi" w:hAnsiTheme="minorHAnsi" w:cstheme="minorHAnsi"/>
          <w:sz w:val="19"/>
          <w:szCs w:val="19"/>
        </w:rPr>
        <w:t>samples</w:t>
      </w:r>
      <w:r>
        <w:rPr>
          <w:rFonts w:asciiTheme="minorHAnsi" w:hAnsiTheme="minorHAnsi" w:cstheme="minorHAnsi"/>
          <w:sz w:val="19"/>
          <w:szCs w:val="19"/>
        </w:rPr>
        <w:t xml:space="preserve"> were</w:t>
      </w:r>
      <w:r>
        <w:rPr>
          <w:rFonts w:asciiTheme="minorHAnsi" w:hAnsiTheme="minorHAnsi" w:cstheme="minorHAnsi"/>
          <w:sz w:val="19"/>
          <w:szCs w:val="19"/>
        </w:rPr>
        <w:t xml:space="preserve"> enumerated for viable concentration to measure the effective viable bioaerosol reduction during operation of the </w:t>
      </w:r>
      <w:r>
        <w:rPr>
          <w:rFonts w:asciiTheme="minorHAnsi" w:hAnsiTheme="minorHAnsi" w:cstheme="minorHAnsi"/>
          <w:sz w:val="19"/>
          <w:szCs w:val="19"/>
        </w:rPr>
        <w:t>VKPro</w:t>
      </w:r>
      <w:r>
        <w:rPr>
          <w:rFonts w:asciiTheme="minorHAnsi" w:hAnsiTheme="minorHAnsi" w:cstheme="minorHAnsi"/>
          <w:sz w:val="19"/>
          <w:szCs w:val="19"/>
        </w:rPr>
        <w:t xml:space="preserve"> </w:t>
      </w:r>
      <w:r>
        <w:rPr>
          <w:rFonts w:asciiTheme="minorHAnsi" w:hAnsiTheme="minorHAnsi" w:cstheme="minorHAnsi"/>
          <w:sz w:val="19"/>
          <w:szCs w:val="19"/>
        </w:rPr>
        <w:t>device</w:t>
      </w:r>
      <w:r>
        <w:rPr>
          <w:rFonts w:asciiTheme="minorHAnsi" w:hAnsiTheme="minorHAnsi" w:cstheme="minorHAnsi"/>
          <w:sz w:val="19"/>
          <w:szCs w:val="19"/>
        </w:rPr>
        <w:t xml:space="preserve"> over time.</w:t>
      </w:r>
    </w:p>
    <w:p>
      <w:pPr>
        <w:ind w:firstLine="360"/>
        <w:jc w:val="both"/>
        <w:rPr>
          <w:rFonts w:asciiTheme="minorHAnsi" w:hAnsiTheme="minorHAnsi" w:cstheme="minorHAnsi"/>
          <w:sz w:val="19"/>
          <w:szCs w:val="19"/>
        </w:rPr>
      </w:pPr>
    </w:p>
    <w:p>
      <w:pPr>
        <w:ind w:firstLine="360"/>
        <w:jc w:val="both"/>
        <w:rPr>
          <w:rFonts w:asciiTheme="minorHAnsi" w:hAnsiTheme="minorHAnsi" w:cstheme="minorHAnsi"/>
          <w:sz w:val="19"/>
          <w:szCs w:val="19"/>
        </w:rPr>
      </w:pPr>
      <w:r>
        <w:rPr>
          <w:rFonts w:asciiTheme="minorHAnsi" w:hAnsiTheme="minorHAnsi" w:cstheme="minorHAnsi"/>
          <w:sz w:val="19"/>
          <w:szCs w:val="19"/>
        </w:rPr>
        <w:t>All s</w:t>
      </w:r>
      <w:r>
        <w:rPr>
          <w:rFonts w:asciiTheme="minorHAnsi" w:hAnsiTheme="minorHAnsi" w:cstheme="minorHAnsi"/>
          <w:sz w:val="19"/>
          <w:szCs w:val="19"/>
        </w:rPr>
        <w:t>amples were plated in triplicat</w:t>
      </w:r>
      <w:r>
        <w:rPr>
          <w:rFonts w:asciiTheme="minorHAnsi" w:hAnsiTheme="minorHAnsi" w:cstheme="minorHAnsi"/>
          <w:sz w:val="19"/>
          <w:szCs w:val="19"/>
        </w:rPr>
        <w:t xml:space="preserve">e on tryptic soy agar </w:t>
      </w:r>
      <w:r>
        <w:rPr>
          <w:rFonts w:asciiTheme="minorHAnsi" w:hAnsiTheme="minorHAnsi" w:cstheme="minorHAnsi"/>
          <w:sz w:val="19"/>
          <w:szCs w:val="19"/>
        </w:rPr>
        <w:t>media over a</w:t>
      </w:r>
      <w:r>
        <w:rPr>
          <w:rFonts w:asciiTheme="minorHAnsi" w:hAnsiTheme="minorHAnsi" w:cstheme="minorHAnsi"/>
          <w:sz w:val="19"/>
          <w:szCs w:val="19"/>
        </w:rPr>
        <w:t xml:space="preserve"> minimum </w:t>
      </w:r>
      <w:r>
        <w:rPr>
          <w:rFonts w:asciiTheme="minorHAnsi" w:hAnsiTheme="minorHAnsi" w:cstheme="minorHAnsi"/>
          <w:sz w:val="19"/>
          <w:szCs w:val="19"/>
        </w:rPr>
        <w:t>3</w:t>
      </w:r>
      <w:r>
        <w:rPr>
          <w:rFonts w:asciiTheme="minorHAnsi" w:hAnsiTheme="minorHAnsi" w:cstheme="minorHAnsi"/>
          <w:sz w:val="19"/>
          <w:szCs w:val="19"/>
        </w:rPr>
        <w:t xml:space="preserve"> </w:t>
      </w:r>
      <w:r>
        <w:rPr>
          <w:rFonts w:asciiTheme="minorHAnsi" w:hAnsiTheme="minorHAnsi" w:cstheme="minorHAnsi"/>
          <w:sz w:val="19"/>
          <w:szCs w:val="19"/>
        </w:rPr>
        <w:t>log</w:t>
      </w:r>
      <w:r>
        <w:rPr>
          <w:rFonts w:asciiTheme="minorHAnsi" w:hAnsiTheme="minorHAnsi" w:cstheme="minorHAnsi"/>
          <w:sz w:val="19"/>
          <w:szCs w:val="19"/>
        </w:rPr>
        <w:t xml:space="preserve"> </w:t>
      </w:r>
      <w:r>
        <w:rPr>
          <w:rFonts w:asciiTheme="minorHAnsi" w:hAnsiTheme="minorHAnsi" w:cstheme="minorHAnsi"/>
          <w:sz w:val="19"/>
          <w:szCs w:val="19"/>
        </w:rPr>
        <w:t>dilution range.</w:t>
      </w:r>
      <w:r>
        <w:rPr>
          <w:rFonts w:asciiTheme="minorHAnsi" w:hAnsiTheme="minorHAnsi" w:cstheme="minorHAnsi"/>
          <w:sz w:val="19"/>
          <w:szCs w:val="19"/>
        </w:rPr>
        <w:t xml:space="preserve"> </w:t>
      </w:r>
      <w:r>
        <w:rPr>
          <w:rFonts w:asciiTheme="minorHAnsi" w:hAnsiTheme="minorHAnsi" w:cstheme="minorHAnsi"/>
          <w:sz w:val="19"/>
          <w:szCs w:val="19"/>
        </w:rPr>
        <w:t xml:space="preserve">Plates were incubated </w:t>
      </w:r>
      <w:r>
        <w:rPr>
          <w:rFonts w:asciiTheme="minorHAnsi" w:hAnsiTheme="minorHAnsi" w:cstheme="minorHAnsi"/>
          <w:sz w:val="19"/>
          <w:szCs w:val="19"/>
        </w:rPr>
        <w:t>for 24</w:t>
      </w:r>
      <w:r>
        <w:rPr>
          <w:rFonts w:asciiTheme="minorHAnsi" w:hAnsiTheme="minorHAnsi" w:cstheme="minorHAnsi"/>
          <w:sz w:val="19"/>
          <w:szCs w:val="19"/>
        </w:rPr>
        <w:t>-48</w:t>
      </w:r>
      <w:r>
        <w:rPr>
          <w:rFonts w:asciiTheme="minorHAnsi" w:hAnsiTheme="minorHAnsi" w:cstheme="minorHAnsi"/>
          <w:sz w:val="19"/>
          <w:szCs w:val="19"/>
        </w:rPr>
        <w:t xml:space="preserve"> hours </w:t>
      </w:r>
      <w:r>
        <w:rPr>
          <w:rFonts w:asciiTheme="minorHAnsi" w:hAnsiTheme="minorHAnsi" w:cstheme="minorHAnsi"/>
          <w:sz w:val="19"/>
          <w:szCs w:val="19"/>
        </w:rPr>
        <w:t xml:space="preserve">and enumerated for </w:t>
      </w:r>
      <w:r>
        <w:rPr>
          <w:rFonts w:asciiTheme="minorHAnsi" w:hAnsiTheme="minorHAnsi" w:cstheme="minorHAnsi"/>
          <w:sz w:val="19"/>
          <w:szCs w:val="19"/>
        </w:rPr>
        <w:t>viable plaque forming units (pfu)</w:t>
      </w:r>
      <w:r>
        <w:rPr>
          <w:rFonts w:asciiTheme="minorHAnsi" w:hAnsiTheme="minorHAnsi" w:cstheme="minorHAnsi"/>
          <w:sz w:val="19"/>
          <w:szCs w:val="19"/>
        </w:rPr>
        <w:t xml:space="preserve"> or colony forming units (cfu)</w:t>
      </w:r>
      <w:r>
        <w:rPr>
          <w:rFonts w:asciiTheme="minorHAnsi" w:hAnsiTheme="minorHAnsi" w:cstheme="minorHAnsi"/>
          <w:sz w:val="19"/>
          <w:szCs w:val="19"/>
        </w:rPr>
        <w:t xml:space="preserve"> to calculate aerosol challenge concentrations in the chamber and </w:t>
      </w:r>
      <w:r>
        <w:rPr>
          <w:rFonts w:asciiTheme="minorHAnsi" w:hAnsiTheme="minorHAnsi" w:cstheme="minorHAnsi"/>
          <w:sz w:val="19"/>
          <w:szCs w:val="19"/>
        </w:rPr>
        <w:t xml:space="preserve">reduction of viable </w:t>
      </w:r>
      <w:r>
        <w:rPr>
          <w:rFonts w:asciiTheme="minorHAnsi" w:hAnsiTheme="minorHAnsi" w:cstheme="minorHAnsi"/>
          <w:sz w:val="19"/>
          <w:szCs w:val="19"/>
        </w:rPr>
        <w:t>microorganisms</w:t>
      </w:r>
      <w:r>
        <w:rPr>
          <w:rFonts w:asciiTheme="minorHAnsi" w:hAnsiTheme="minorHAnsi" w:cstheme="minorHAnsi"/>
          <w:sz w:val="19"/>
          <w:szCs w:val="19"/>
        </w:rPr>
        <w:t>.</w:t>
      </w:r>
    </w:p>
    <w:p>
      <w:pPr>
        <w:jc w:val="center"/>
        <w:rPr>
          <w:rFonts w:asciiTheme="minorHAnsi" w:hAnsiTheme="minorHAnsi" w:cstheme="minorHAnsi"/>
          <w:sz w:val="20"/>
          <w:szCs w:val="20"/>
        </w:rPr>
      </w:pPr>
    </w:p>
    <w:p>
      <w:pPr>
        <w:rPr>
          <w:rFonts w:asciiTheme="minorHAnsi" w:hAnsiTheme="minorHAnsi" w:cstheme="minorHAnsi"/>
          <w:b/>
          <w:sz w:val="20"/>
          <w:szCs w:val="20"/>
        </w:rPr>
      </w:pPr>
      <w:r>
        <w:rPr>
          <w:rFonts w:asciiTheme="minorHAnsi" w:hAnsiTheme="minorHAnsi" w:cstheme="minorHAnsi"/>
          <w:b/>
          <w:sz w:val="20"/>
          <w:szCs w:val="20"/>
        </w:rPr>
        <w:t>Results</w:t>
      </w:r>
      <w:r>
        <w:rPr>
          <w:rFonts w:asciiTheme="minorHAnsi" w:hAnsiTheme="minorHAnsi" w:cstheme="minorHAnsi"/>
          <w:b/>
          <w:sz w:val="20"/>
          <w:szCs w:val="20"/>
        </w:rPr>
        <w:t>:</w:t>
      </w:r>
    </w:p>
    <w:p>
      <w:pPr>
        <w:rPr>
          <w:rFonts w:asciiTheme="minorHAnsi" w:hAnsiTheme="minorHAnsi" w:cstheme="minorHAnsi"/>
          <w:b/>
          <w:sz w:val="20"/>
          <w:szCs w:val="20"/>
        </w:rPr>
      </w:pPr>
    </w:p>
    <w:p>
      <w:pPr>
        <w:ind w:firstLine="360"/>
        <w:jc w:val="both"/>
        <w:rPr>
          <w:rFonts w:asciiTheme="minorHAnsi" w:hAnsiTheme="minorHAnsi"/>
          <w:sz w:val="19"/>
          <w:szCs w:val="19"/>
        </w:rPr>
      </w:pPr>
      <w:r>
        <w:rPr>
          <w:rFonts w:asciiTheme="minorHAnsi" w:hAnsiTheme="minorHAnsi"/>
          <w:sz w:val="19"/>
          <w:szCs w:val="19"/>
        </w:rPr>
        <w:t>This</w:t>
      </w:r>
      <w:r>
        <w:rPr>
          <w:rFonts w:asciiTheme="minorHAnsi" w:hAnsiTheme="minorHAnsi"/>
          <w:sz w:val="19"/>
          <w:szCs w:val="19"/>
        </w:rPr>
        <w:t xml:space="preserve"> study was performed to evaluate the </w:t>
      </w:r>
      <w:r>
        <w:rPr>
          <w:rFonts w:asciiTheme="minorHAnsi" w:hAnsiTheme="minorHAnsi"/>
          <w:sz w:val="19"/>
          <w:szCs w:val="19"/>
        </w:rPr>
        <w:t>VKPro</w:t>
      </w:r>
      <w:r>
        <w:rPr>
          <w:rFonts w:asciiTheme="minorHAnsi" w:hAnsiTheme="minorHAnsi"/>
          <w:sz w:val="19"/>
          <w:szCs w:val="19"/>
        </w:rPr>
        <w:t xml:space="preserve"> device efficacy at reduction of bioaerosols in a controlled room. Reduction of viable bioaerosols by </w:t>
      </w:r>
      <w:r>
        <w:rPr>
          <w:rFonts w:asciiTheme="minorHAnsi" w:hAnsiTheme="minorHAnsi"/>
          <w:sz w:val="19"/>
          <w:szCs w:val="19"/>
        </w:rPr>
        <w:t>4 logs</w:t>
      </w:r>
      <w:r>
        <w:rPr>
          <w:rFonts w:asciiTheme="minorHAnsi" w:hAnsiTheme="minorHAnsi"/>
          <w:sz w:val="19"/>
          <w:szCs w:val="19"/>
        </w:rPr>
        <w:t>,</w:t>
      </w:r>
      <w:r>
        <w:rPr>
          <w:rFonts w:asciiTheme="minorHAnsi" w:hAnsiTheme="minorHAnsi"/>
          <w:sz w:val="19"/>
          <w:szCs w:val="19"/>
        </w:rPr>
        <w:t xml:space="preserve"> or 99.99%</w:t>
      </w:r>
      <w:r>
        <w:rPr>
          <w:rFonts w:asciiTheme="minorHAnsi" w:hAnsiTheme="minorHAnsi"/>
          <w:sz w:val="19"/>
          <w:szCs w:val="19"/>
        </w:rPr>
        <w:t>,</w:t>
      </w:r>
      <w:r>
        <w:rPr>
          <w:rFonts w:asciiTheme="minorHAnsi" w:hAnsiTheme="minorHAnsi"/>
          <w:sz w:val="19"/>
          <w:szCs w:val="19"/>
        </w:rPr>
        <w:t xml:space="preserve"> is the minimum requirement for FDA approved use. The </w:t>
      </w:r>
      <w:r>
        <w:rPr>
          <w:rFonts w:asciiTheme="minorHAnsi" w:hAnsiTheme="minorHAnsi"/>
          <w:sz w:val="19"/>
          <w:szCs w:val="19"/>
        </w:rPr>
        <w:t xml:space="preserve">species </w:t>
      </w:r>
      <w:r>
        <w:rPr>
          <w:rFonts w:asciiTheme="minorHAnsi" w:hAnsiTheme="minorHAnsi"/>
          <w:sz w:val="19"/>
          <w:szCs w:val="19"/>
        </w:rPr>
        <w:t xml:space="preserve">of </w:t>
      </w:r>
      <w:r>
        <w:rPr>
          <w:rFonts w:asciiTheme="minorHAnsi" w:hAnsiTheme="minorHAnsi"/>
          <w:sz w:val="19"/>
          <w:szCs w:val="19"/>
        </w:rPr>
        <w:t>micro</w:t>
      </w:r>
      <w:r>
        <w:rPr>
          <w:rFonts w:asciiTheme="minorHAnsi" w:hAnsiTheme="minorHAnsi"/>
          <w:sz w:val="19"/>
          <w:szCs w:val="19"/>
        </w:rPr>
        <w:t xml:space="preserve">organisms </w:t>
      </w:r>
      <w:r>
        <w:rPr>
          <w:rFonts w:asciiTheme="minorHAnsi" w:hAnsiTheme="minorHAnsi"/>
          <w:sz w:val="19"/>
          <w:szCs w:val="19"/>
        </w:rPr>
        <w:t>were selected</w:t>
      </w:r>
      <w:r>
        <w:rPr>
          <w:rFonts w:asciiTheme="minorHAnsi" w:hAnsiTheme="minorHAnsi"/>
          <w:sz w:val="19"/>
          <w:szCs w:val="19"/>
        </w:rPr>
        <w:t xml:space="preserve"> specifically for their </w:t>
      </w:r>
      <w:r>
        <w:rPr>
          <w:rFonts w:asciiTheme="minorHAnsi" w:hAnsiTheme="minorHAnsi"/>
          <w:sz w:val="19"/>
          <w:szCs w:val="19"/>
        </w:rPr>
        <w:t>abi</w:t>
      </w:r>
      <w:r>
        <w:rPr>
          <w:rFonts w:asciiTheme="minorHAnsi" w:hAnsiTheme="minorHAnsi"/>
          <w:sz w:val="19"/>
          <w:szCs w:val="19"/>
        </w:rPr>
        <w:t xml:space="preserve">lity </w:t>
      </w:r>
      <w:r>
        <w:rPr>
          <w:rFonts w:asciiTheme="minorHAnsi" w:hAnsiTheme="minorHAnsi"/>
          <w:sz w:val="19"/>
          <w:szCs w:val="19"/>
        </w:rPr>
        <w:t>to</w:t>
      </w:r>
      <w:r>
        <w:rPr>
          <w:rFonts w:asciiTheme="minorHAnsi" w:hAnsiTheme="minorHAnsi"/>
          <w:sz w:val="19"/>
          <w:szCs w:val="19"/>
        </w:rPr>
        <w:t xml:space="preserve"> gaug</w:t>
      </w:r>
      <w:r>
        <w:rPr>
          <w:rFonts w:asciiTheme="minorHAnsi" w:hAnsiTheme="minorHAnsi"/>
          <w:sz w:val="19"/>
          <w:szCs w:val="19"/>
        </w:rPr>
        <w:t>e the</w:t>
      </w:r>
      <w:r>
        <w:rPr>
          <w:rFonts w:asciiTheme="minorHAnsi" w:hAnsiTheme="minorHAnsi"/>
          <w:sz w:val="19"/>
          <w:szCs w:val="19"/>
        </w:rPr>
        <w:t xml:space="preserve"> device</w:t>
      </w:r>
      <w:r>
        <w:rPr>
          <w:rFonts w:asciiTheme="minorHAnsi" w:hAnsiTheme="minorHAnsi"/>
          <w:sz w:val="19"/>
          <w:szCs w:val="19"/>
        </w:rPr>
        <w:t>’s</w:t>
      </w:r>
      <w:r>
        <w:rPr>
          <w:rFonts w:asciiTheme="minorHAnsi" w:hAnsiTheme="minorHAnsi"/>
          <w:sz w:val="19"/>
          <w:szCs w:val="19"/>
        </w:rPr>
        <w:t xml:space="preserve"> efficacy </w:t>
      </w:r>
      <w:r>
        <w:rPr>
          <w:rFonts w:asciiTheme="minorHAnsi" w:hAnsiTheme="minorHAnsi"/>
          <w:sz w:val="19"/>
          <w:szCs w:val="19"/>
        </w:rPr>
        <w:t xml:space="preserve">for reducing </w:t>
      </w:r>
      <w:r>
        <w:rPr>
          <w:rFonts w:asciiTheme="minorHAnsi" w:hAnsiTheme="minorHAnsi"/>
          <w:sz w:val="19"/>
          <w:szCs w:val="19"/>
        </w:rPr>
        <w:t>the most common</w:t>
      </w:r>
      <w:r>
        <w:rPr>
          <w:rFonts w:asciiTheme="minorHAnsi" w:hAnsiTheme="minorHAnsi"/>
          <w:sz w:val="19"/>
          <w:szCs w:val="19"/>
        </w:rPr>
        <w:t>ly</w:t>
      </w:r>
      <w:r>
        <w:rPr>
          <w:rFonts w:asciiTheme="minorHAnsi" w:hAnsiTheme="minorHAnsi"/>
          <w:sz w:val="19"/>
          <w:szCs w:val="19"/>
        </w:rPr>
        <w:t xml:space="preserve"> encountered organisms.</w:t>
      </w:r>
    </w:p>
    <w:p>
      <w:pPr>
        <w:ind w:firstLine="360"/>
        <w:jc w:val="both"/>
        <w:rPr>
          <w:rFonts w:asciiTheme="minorHAnsi" w:hAnsiTheme="minorHAnsi"/>
          <w:sz w:val="19"/>
          <w:szCs w:val="19"/>
        </w:rPr>
      </w:pPr>
    </w:p>
    <w:p>
      <w:pPr>
        <w:jc w:val="center"/>
        <w:rPr>
          <w:rFonts w:asciiTheme="minorHAnsi" w:hAnsiTheme="minorHAnsi" w:cstheme="minorHAnsi"/>
          <w:sz w:val="20"/>
          <w:szCs w:val="20"/>
        </w:rPr>
        <w:sectPr>
          <w:type w:val="continuous"/>
          <w:pgSz w:w="12240" w:h="15840" w:code="1"/>
          <w:pgMar w:top="1440" w:right="1080" w:bottom="720" w:left="1080" w:header="720" w:footer="432" w:gutter="0"/>
          <w:cols w:space="720" w:num="2"/>
          <w:docGrid w:linePitch="360"/>
        </w:sectPr>
      </w:pPr>
    </w:p>
    <w:p>
      <w:pPr>
        <w:jc w:val="center"/>
        <w:rPr>
          <w:rFonts w:asciiTheme="minorHAnsi" w:hAnsiTheme="minorHAnsi" w:cstheme="minorHAnsi"/>
          <w:sz w:val="20"/>
          <w:szCs w:val="20"/>
        </w:rPr>
      </w:pPr>
    </w:p>
    <w:p>
      <w:pPr>
        <w:jc w:val="center"/>
        <w:rPr>
          <w:rFonts w:asciiTheme="minorHAnsi" w:hAnsiTheme="minorHAnsi" w:cstheme="minorHAnsi"/>
          <w:sz w:val="20"/>
          <w:szCs w:val="20"/>
        </w:rPr>
      </w:pPr>
      <w:r>
        <w:rPr>
          <w:rFonts w:asciiTheme="minorHAnsi" w:hAnsiTheme="minorHAnsi" w:cstheme="minorHAnsi"/>
          <w:noProof/>
          <w:sz w:val="20"/>
          <w:szCs w:val="20"/>
        </w:rPr>
        <w:drawing>
          <wp:inline distT="0" distB="0" distL="0" distR="0">
            <wp:extent cx="4043857" cy="3645864"/>
            <wp:effectExtent l="0" t="0" r="0" b="0"/>
            <wp:docPr id="1042" name="shape1042"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16">
                      <a:extLst>
                        <a:ext uri="{28A0092B-C50C-407E-A947-70E740481C1C}">
                          <a14:useLocalDpi xmlns:a14="http://schemas.microsoft.com/office/drawing/2010/main" val="0"/>
                        </a:ext>
                      </a:extLst>
                    </a:blip>
                    <a:srcRect/>
                    <a:stretch>
                      <a:fillRect/>
                    </a:stretch>
                  </pic:blipFill>
                  <pic:spPr>
                    <a:xfrm>
                      <a:off x="0" y="0"/>
                      <a:ext cx="4043857" cy="3645864"/>
                    </a:xfrm>
                    <a:prstGeom prst="rect"/>
                    <a:noFill/>
                  </pic:spPr>
                </pic:pic>
              </a:graphicData>
            </a:graphic>
          </wp:inline>
        </w:drawing>
      </w:r>
    </w:p>
    <w:p>
      <w:pPr>
        <w:ind w:firstLine="360"/>
        <w:jc w:val="center"/>
        <w:rPr>
          <w:rFonts w:asciiTheme="minorHAnsi" w:hAnsiTheme="minorHAnsi"/>
          <w:i/>
          <w:sz w:val="19"/>
          <w:szCs w:val="19"/>
        </w:rPr>
      </w:pPr>
      <w:r>
        <w:rPr>
          <w:rFonts w:ascii="Garamond" w:hAnsi="Garamond" w:cstheme="minorHAnsi"/>
          <w:b/>
          <w:color w:val="0070C0"/>
          <w:sz w:val="18"/>
          <w:szCs w:val="20"/>
        </w:rPr>
        <w:t>Figure 1</w:t>
      </w:r>
      <w:r>
        <w:rPr>
          <w:rFonts w:ascii="Garamond" w:hAnsi="Garamond" w:cstheme="minorHAnsi"/>
          <w:b/>
          <w:color w:val="0070C0"/>
          <w:sz w:val="18"/>
          <w:szCs w:val="20"/>
        </w:rPr>
        <w:t>2:</w:t>
      </w:r>
      <w:r>
        <w:rPr>
          <w:rFonts w:ascii="Garamond" w:hAnsi="Garamond" w:cstheme="minorHAnsi"/>
          <w:b/>
          <w:sz w:val="18"/>
          <w:szCs w:val="20"/>
        </w:rPr>
        <w:t xml:space="preserve"> </w:t>
      </w:r>
      <w:r>
        <w:rPr>
          <w:rFonts w:ascii="Garamond" w:hAnsi="Garamond" w:cstheme="minorHAnsi"/>
          <w:i/>
          <w:sz w:val="18"/>
          <w:szCs w:val="20"/>
        </w:rPr>
        <w:t>Net LOG Reduction for the VKPro</w:t>
      </w:r>
      <w:r>
        <w:rPr>
          <w:rFonts w:ascii="Garamond" w:hAnsi="Garamond" w:cstheme="minorHAnsi"/>
          <w:i/>
          <w:sz w:val="18"/>
          <w:szCs w:val="20"/>
        </w:rPr>
        <w:t xml:space="preserve"> All Organisms Summary Data</w:t>
      </w:r>
    </w:p>
    <w:p>
      <w:pPr>
        <w:ind w:firstLine="360"/>
        <w:jc w:val="both"/>
        <w:rPr>
          <w:rFonts w:asciiTheme="minorHAnsi" w:hAnsiTheme="minorHAnsi"/>
          <w:sz w:val="19"/>
          <w:szCs w:val="19"/>
        </w:rPr>
      </w:pPr>
    </w:p>
    <w:p>
      <w:pPr>
        <w:ind w:firstLine="360"/>
        <w:jc w:val="both"/>
        <w:rPr>
          <w:rFonts w:asciiTheme="minorHAnsi" w:hAnsiTheme="minorHAnsi"/>
          <w:sz w:val="19"/>
          <w:szCs w:val="19"/>
        </w:rPr>
      </w:pPr>
    </w:p>
    <w:p>
      <w:pPr>
        <w:ind w:firstLine="360"/>
        <w:jc w:val="both"/>
        <w:rPr>
          <w:rFonts w:asciiTheme="minorHAnsi" w:hAnsiTheme="minorHAnsi"/>
          <w:sz w:val="19"/>
          <w:szCs w:val="19"/>
        </w:rPr>
        <w:sectPr>
          <w:type w:val="continuous"/>
          <w:pgSz w:w="12240" w:h="15840" w:code="1"/>
          <w:pgMar w:top="1440" w:right="1080" w:bottom="720" w:left="1080" w:header="720" w:footer="432" w:gutter="0"/>
          <w:cols w:space="720"/>
          <w:docGrid w:linePitch="360"/>
        </w:sectPr>
      </w:pPr>
    </w:p>
    <w:p>
      <w:pPr>
        <w:ind w:firstLine="360"/>
        <w:jc w:val="both"/>
        <w:rPr>
          <w:rFonts w:asciiTheme="minorHAnsi" w:hAnsiTheme="minorHAnsi"/>
          <w:sz w:val="19"/>
          <w:szCs w:val="19"/>
        </w:rPr>
      </w:pPr>
    </w:p>
    <w:p>
      <w:pPr>
        <w:ind w:firstLine="360"/>
        <w:jc w:val="both"/>
        <w:rPr>
          <w:rFonts w:asciiTheme="minorHAnsi" w:hAnsiTheme="minorHAnsi"/>
          <w:sz w:val="19"/>
          <w:szCs w:val="19"/>
        </w:rPr>
        <w:sectPr>
          <w:type w:val="continuous"/>
          <w:pgSz w:w="12240" w:h="15840" w:code="1"/>
          <w:pgMar w:top="1440" w:right="1080" w:bottom="720" w:left="1080" w:header="720" w:footer="432" w:gutter="0"/>
          <w:cols w:space="720"/>
          <w:docGrid w:linePitch="360"/>
        </w:sectPr>
      </w:pPr>
    </w:p>
    <w:p>
      <w:pPr>
        <w:ind w:firstLine="360"/>
        <w:jc w:val="both"/>
        <w:rPr>
          <w:rFonts w:asciiTheme="minorHAnsi" w:hAnsiTheme="minorHAnsi"/>
          <w:sz w:val="19"/>
          <w:szCs w:val="19"/>
        </w:rPr>
      </w:pPr>
      <w:r>
        <w:rPr>
          <w:rFonts w:asciiTheme="minorHAnsi" w:hAnsiTheme="minorHAnsi"/>
          <w:sz w:val="19"/>
          <w:szCs w:val="19"/>
        </w:rPr>
        <w:t xml:space="preserve">When tested against the MS2 bacteriophage, the device showed a net </w:t>
      </w:r>
      <w:r>
        <w:rPr>
          <w:rFonts w:asciiTheme="minorHAnsi" w:hAnsiTheme="minorHAnsi"/>
          <w:sz w:val="19"/>
          <w:szCs w:val="19"/>
        </w:rPr>
        <w:t>log</w:t>
      </w:r>
      <w:r>
        <w:rPr>
          <w:rFonts w:asciiTheme="minorHAnsi" w:hAnsiTheme="minorHAnsi"/>
          <w:sz w:val="19"/>
          <w:szCs w:val="19"/>
        </w:rPr>
        <w:t xml:space="preserve"> reduction of </w:t>
      </w:r>
      <w:r>
        <w:rPr>
          <w:rFonts w:asciiTheme="minorHAnsi" w:hAnsiTheme="minorHAnsi"/>
          <w:sz w:val="19"/>
          <w:szCs w:val="19"/>
        </w:rPr>
        <w:t>6.02</w:t>
      </w:r>
      <w:r>
        <w:rPr>
          <w:rFonts w:asciiTheme="minorHAnsi" w:hAnsiTheme="minorHAnsi"/>
          <w:sz w:val="19"/>
          <w:szCs w:val="19"/>
        </w:rPr>
        <w:t xml:space="preserve"> +/- 0.</w:t>
      </w:r>
      <w:r>
        <w:rPr>
          <w:rFonts w:asciiTheme="minorHAnsi" w:hAnsiTheme="minorHAnsi"/>
          <w:sz w:val="19"/>
          <w:szCs w:val="19"/>
        </w:rPr>
        <w:t>1</w:t>
      </w:r>
      <w:r>
        <w:rPr>
          <w:rFonts w:asciiTheme="minorHAnsi" w:hAnsiTheme="minorHAnsi"/>
          <w:sz w:val="19"/>
          <w:szCs w:val="19"/>
        </w:rPr>
        <w:t xml:space="preserve"> in </w:t>
      </w:r>
      <w:r>
        <w:rPr>
          <w:rFonts w:asciiTheme="minorHAnsi" w:hAnsiTheme="minorHAnsi"/>
          <w:sz w:val="19"/>
          <w:szCs w:val="19"/>
        </w:rPr>
        <w:t>15</w:t>
      </w:r>
      <w:r>
        <w:rPr>
          <w:rFonts w:asciiTheme="minorHAnsi" w:hAnsiTheme="minorHAnsi"/>
          <w:sz w:val="19"/>
          <w:szCs w:val="19"/>
        </w:rPr>
        <w:t xml:space="preserve"> </w:t>
      </w:r>
      <w:r>
        <w:rPr>
          <w:rFonts w:asciiTheme="minorHAnsi" w:hAnsiTheme="minorHAnsi"/>
          <w:sz w:val="19"/>
          <w:szCs w:val="19"/>
        </w:rPr>
        <w:t xml:space="preserve">minutes. When tested against Phi X 174 the device achieved a net </w:t>
      </w:r>
      <w:r>
        <w:rPr>
          <w:rFonts w:asciiTheme="minorHAnsi" w:hAnsiTheme="minorHAnsi"/>
          <w:sz w:val="19"/>
          <w:szCs w:val="19"/>
        </w:rPr>
        <w:t>log</w:t>
      </w:r>
      <w:r>
        <w:rPr>
          <w:rFonts w:asciiTheme="minorHAnsi" w:hAnsiTheme="minorHAnsi"/>
          <w:sz w:val="19"/>
          <w:szCs w:val="19"/>
        </w:rPr>
        <w:t xml:space="preserve"> reduction of </w:t>
      </w:r>
      <w:r>
        <w:rPr>
          <w:rFonts w:asciiTheme="minorHAnsi" w:hAnsiTheme="minorHAnsi"/>
          <w:sz w:val="19"/>
          <w:szCs w:val="19"/>
        </w:rPr>
        <w:t>5.37</w:t>
      </w:r>
      <w:r>
        <w:rPr>
          <w:rFonts w:asciiTheme="minorHAnsi" w:hAnsiTheme="minorHAnsi"/>
          <w:sz w:val="19"/>
          <w:szCs w:val="19"/>
        </w:rPr>
        <w:t xml:space="preserve"> +/- 0.</w:t>
      </w:r>
      <w:r>
        <w:rPr>
          <w:rFonts w:asciiTheme="minorHAnsi" w:hAnsiTheme="minorHAnsi"/>
          <w:sz w:val="19"/>
          <w:szCs w:val="19"/>
        </w:rPr>
        <w:t>2</w:t>
      </w:r>
      <w:r>
        <w:rPr>
          <w:rFonts w:asciiTheme="minorHAnsi" w:hAnsiTheme="minorHAnsi"/>
          <w:sz w:val="19"/>
          <w:szCs w:val="19"/>
        </w:rPr>
        <w:t xml:space="preserve"> in </w:t>
      </w:r>
      <w:r>
        <w:rPr>
          <w:rFonts w:asciiTheme="minorHAnsi" w:hAnsiTheme="minorHAnsi"/>
          <w:sz w:val="19"/>
          <w:szCs w:val="19"/>
        </w:rPr>
        <w:t>35</w:t>
      </w:r>
      <w:r>
        <w:rPr>
          <w:rFonts w:asciiTheme="minorHAnsi" w:hAnsiTheme="minorHAnsi"/>
          <w:sz w:val="19"/>
          <w:szCs w:val="19"/>
        </w:rPr>
        <w:t xml:space="preserve"> minutes. When tested against </w:t>
      </w:r>
      <w:r>
        <w:rPr>
          <w:rFonts w:asciiTheme="minorHAnsi" w:hAnsiTheme="minorHAnsi"/>
          <w:sz w:val="19"/>
          <w:szCs w:val="19"/>
        </w:rPr>
        <w:t xml:space="preserve">      </w:t>
      </w:r>
    </w:p>
    <w:p>
      <w:pPr>
        <w:jc w:val="both"/>
        <w:rPr>
          <w:rFonts w:asciiTheme="minorHAnsi" w:hAnsiTheme="minorHAnsi"/>
          <w:sz w:val="19"/>
          <w:szCs w:val="19"/>
        </w:rPr>
      </w:pPr>
      <w:r>
        <w:rPr>
          <w:rFonts w:asciiTheme="minorHAnsi" w:hAnsiTheme="minorHAnsi"/>
          <w:i/>
          <w:sz w:val="19"/>
          <w:szCs w:val="19"/>
        </w:rPr>
        <w:t>Staphylococcus epidermidis</w:t>
      </w:r>
      <w:r>
        <w:rPr>
          <w:rFonts w:asciiTheme="minorHAnsi" w:hAnsiTheme="minorHAnsi"/>
          <w:sz w:val="19"/>
          <w:szCs w:val="19"/>
        </w:rPr>
        <w:t xml:space="preserve"> the device reached a net </w:t>
      </w:r>
      <w:r>
        <w:rPr>
          <w:rFonts w:asciiTheme="minorHAnsi" w:hAnsiTheme="minorHAnsi"/>
          <w:sz w:val="19"/>
          <w:szCs w:val="19"/>
        </w:rPr>
        <w:t>log</w:t>
      </w:r>
      <w:r>
        <w:rPr>
          <w:rFonts w:asciiTheme="minorHAnsi" w:hAnsiTheme="minorHAnsi"/>
          <w:sz w:val="19"/>
          <w:szCs w:val="19"/>
        </w:rPr>
        <w:t xml:space="preserve"> reduction of </w:t>
      </w:r>
      <w:r>
        <w:rPr>
          <w:rFonts w:asciiTheme="minorHAnsi" w:hAnsiTheme="minorHAnsi"/>
          <w:sz w:val="19"/>
          <w:szCs w:val="19"/>
        </w:rPr>
        <w:t>7.12</w:t>
      </w:r>
      <w:r>
        <w:rPr>
          <w:rFonts w:asciiTheme="minorHAnsi" w:hAnsiTheme="minorHAnsi"/>
          <w:sz w:val="19"/>
          <w:szCs w:val="19"/>
        </w:rPr>
        <w:t>+/- 0.1</w:t>
      </w:r>
      <w:r>
        <w:rPr>
          <w:rFonts w:asciiTheme="minorHAnsi" w:hAnsiTheme="minorHAnsi"/>
          <w:sz w:val="19"/>
          <w:szCs w:val="19"/>
        </w:rPr>
        <w:t>4</w:t>
      </w:r>
      <w:r>
        <w:rPr>
          <w:rFonts w:asciiTheme="minorHAnsi" w:hAnsiTheme="minorHAnsi"/>
          <w:sz w:val="19"/>
          <w:szCs w:val="19"/>
        </w:rPr>
        <w:t xml:space="preserve"> in </w:t>
      </w:r>
      <w:r>
        <w:rPr>
          <w:rFonts w:asciiTheme="minorHAnsi" w:hAnsiTheme="minorHAnsi"/>
          <w:sz w:val="19"/>
          <w:szCs w:val="19"/>
        </w:rPr>
        <w:t>2</w:t>
      </w:r>
      <w:r>
        <w:rPr>
          <w:rFonts w:asciiTheme="minorHAnsi" w:hAnsiTheme="minorHAnsi"/>
          <w:sz w:val="19"/>
          <w:szCs w:val="19"/>
        </w:rPr>
        <w:t>0</w:t>
      </w:r>
      <w:r>
        <w:rPr>
          <w:rFonts w:asciiTheme="minorHAnsi" w:hAnsiTheme="minorHAnsi"/>
          <w:sz w:val="19"/>
          <w:szCs w:val="19"/>
        </w:rPr>
        <w:t xml:space="preserve"> </w:t>
      </w:r>
      <w:r>
        <w:rPr>
          <w:rFonts w:asciiTheme="minorHAnsi" w:hAnsiTheme="minorHAnsi"/>
          <w:sz w:val="19"/>
          <w:szCs w:val="19"/>
        </w:rPr>
        <w:t xml:space="preserve">minutes. The </w:t>
      </w:r>
      <w:r>
        <w:rPr>
          <w:rFonts w:asciiTheme="minorHAnsi" w:hAnsiTheme="minorHAnsi"/>
          <w:sz w:val="19"/>
          <w:szCs w:val="19"/>
        </w:rPr>
        <w:t>other</w:t>
      </w:r>
      <w:r>
        <w:rPr>
          <w:rFonts w:asciiTheme="minorHAnsi" w:hAnsiTheme="minorHAnsi"/>
          <w:sz w:val="19"/>
          <w:szCs w:val="19"/>
        </w:rPr>
        <w:t xml:space="preserve"> bacterial</w:t>
      </w:r>
      <w:r>
        <w:rPr>
          <w:rFonts w:asciiTheme="minorHAnsi" w:hAnsiTheme="minorHAnsi"/>
          <w:sz w:val="19"/>
          <w:szCs w:val="19"/>
        </w:rPr>
        <w:t xml:space="preserve"> </w:t>
      </w:r>
      <w:r>
        <w:rPr>
          <w:rFonts w:asciiTheme="minorHAnsi" w:hAnsiTheme="minorHAnsi"/>
          <w:sz w:val="19"/>
          <w:szCs w:val="19"/>
        </w:rPr>
        <w:t xml:space="preserve">species tested </w:t>
      </w:r>
      <w:r>
        <w:rPr>
          <w:rFonts w:asciiTheme="minorHAnsi" w:hAnsiTheme="minorHAnsi"/>
          <w:i/>
          <w:sz w:val="19"/>
          <w:szCs w:val="19"/>
        </w:rPr>
        <w:t>P. agglomerans</w:t>
      </w:r>
      <w:r>
        <w:rPr>
          <w:rFonts w:asciiTheme="minorHAnsi" w:hAnsiTheme="minorHAnsi"/>
          <w:i/>
          <w:sz w:val="19"/>
          <w:szCs w:val="19"/>
        </w:rPr>
        <w:t xml:space="preserve"> </w:t>
      </w:r>
      <w:r>
        <w:rPr>
          <w:rFonts w:asciiTheme="minorHAnsi" w:hAnsiTheme="minorHAnsi"/>
          <w:sz w:val="19"/>
          <w:szCs w:val="19"/>
        </w:rPr>
        <w:t xml:space="preserve">reached </w:t>
      </w:r>
      <w:r>
        <w:rPr>
          <w:rFonts w:asciiTheme="minorHAnsi" w:hAnsiTheme="minorHAnsi"/>
          <w:sz w:val="19"/>
          <w:szCs w:val="19"/>
        </w:rPr>
        <w:t>5.1</w:t>
      </w:r>
      <w:r>
        <w:rPr>
          <w:rFonts w:asciiTheme="minorHAnsi" w:hAnsiTheme="minorHAnsi"/>
          <w:sz w:val="19"/>
          <w:szCs w:val="19"/>
        </w:rPr>
        <w:t>9</w:t>
      </w:r>
      <w:r>
        <w:rPr>
          <w:rFonts w:asciiTheme="minorHAnsi" w:hAnsiTheme="minorHAnsi"/>
          <w:sz w:val="19"/>
          <w:szCs w:val="19"/>
        </w:rPr>
        <w:t xml:space="preserve"> +/- 0.</w:t>
      </w:r>
      <w:r>
        <w:rPr>
          <w:rFonts w:asciiTheme="minorHAnsi" w:hAnsiTheme="minorHAnsi"/>
          <w:sz w:val="19"/>
          <w:szCs w:val="19"/>
        </w:rPr>
        <w:t>1</w:t>
      </w:r>
      <w:r>
        <w:rPr>
          <w:rFonts w:asciiTheme="minorHAnsi" w:hAnsiTheme="minorHAnsi"/>
          <w:sz w:val="19"/>
          <w:szCs w:val="19"/>
        </w:rPr>
        <w:t>8</w:t>
      </w:r>
      <w:r>
        <w:rPr>
          <w:rFonts w:asciiTheme="minorHAnsi" w:hAnsiTheme="minorHAnsi"/>
          <w:sz w:val="19"/>
          <w:szCs w:val="19"/>
        </w:rPr>
        <w:t xml:space="preserve"> in </w:t>
      </w:r>
      <w:r>
        <w:rPr>
          <w:rFonts w:asciiTheme="minorHAnsi" w:hAnsiTheme="minorHAnsi"/>
          <w:sz w:val="19"/>
          <w:szCs w:val="19"/>
        </w:rPr>
        <w:t>35</w:t>
      </w:r>
      <w:r>
        <w:rPr>
          <w:rFonts w:asciiTheme="minorHAnsi" w:hAnsiTheme="minorHAnsi"/>
          <w:sz w:val="19"/>
          <w:szCs w:val="19"/>
        </w:rPr>
        <w:t xml:space="preserve"> </w:t>
      </w:r>
      <w:r>
        <w:rPr>
          <w:rFonts w:asciiTheme="minorHAnsi" w:hAnsiTheme="minorHAnsi"/>
          <w:sz w:val="19"/>
          <w:szCs w:val="19"/>
        </w:rPr>
        <w:t>minutes.</w:t>
      </w:r>
      <w:r>
        <w:rPr>
          <w:rFonts w:asciiTheme="minorHAnsi" w:hAnsiTheme="minorHAnsi"/>
          <w:sz w:val="19"/>
          <w:szCs w:val="19"/>
        </w:rPr>
        <w:t xml:space="preserve"> </w:t>
      </w:r>
      <w:r>
        <w:rPr>
          <w:rFonts w:asciiTheme="minorHAnsi" w:hAnsiTheme="minorHAnsi"/>
          <w:sz w:val="19"/>
          <w:szCs w:val="19"/>
        </w:rPr>
        <w:t xml:space="preserve">The </w:t>
      </w:r>
      <w:r>
        <w:rPr>
          <w:rFonts w:asciiTheme="minorHAnsi" w:hAnsiTheme="minorHAnsi"/>
          <w:i/>
          <w:sz w:val="19"/>
          <w:szCs w:val="19"/>
        </w:rPr>
        <w:t>Aspergillus brasiliensis</w:t>
      </w:r>
      <w:r>
        <w:rPr>
          <w:rFonts w:asciiTheme="minorHAnsi" w:hAnsiTheme="minorHAnsi"/>
          <w:sz w:val="19"/>
          <w:szCs w:val="19"/>
        </w:rPr>
        <w:t xml:space="preserve"> spores showed an average </w:t>
      </w:r>
      <w:r>
        <w:rPr>
          <w:rFonts w:asciiTheme="minorHAnsi" w:hAnsiTheme="minorHAnsi"/>
          <w:sz w:val="19"/>
          <w:szCs w:val="19"/>
        </w:rPr>
        <w:t xml:space="preserve">net </w:t>
      </w:r>
      <w:r>
        <w:rPr>
          <w:rFonts w:asciiTheme="minorHAnsi" w:hAnsiTheme="minorHAnsi"/>
          <w:sz w:val="19"/>
          <w:szCs w:val="19"/>
        </w:rPr>
        <w:t>reduction of 4.</w:t>
      </w:r>
      <w:r>
        <w:rPr>
          <w:rFonts w:asciiTheme="minorHAnsi" w:hAnsiTheme="minorHAnsi"/>
          <w:sz w:val="19"/>
          <w:szCs w:val="19"/>
        </w:rPr>
        <w:t>2</w:t>
      </w:r>
      <w:r>
        <w:rPr>
          <w:rFonts w:asciiTheme="minorHAnsi" w:hAnsiTheme="minorHAnsi"/>
          <w:sz w:val="19"/>
          <w:szCs w:val="19"/>
        </w:rPr>
        <w:t>8</w:t>
      </w:r>
      <w:r>
        <w:rPr>
          <w:rFonts w:asciiTheme="minorHAnsi" w:hAnsiTheme="minorHAnsi"/>
          <w:sz w:val="19"/>
          <w:szCs w:val="19"/>
        </w:rPr>
        <w:t xml:space="preserve"> +/- 0.</w:t>
      </w:r>
      <w:r>
        <w:rPr>
          <w:rFonts w:asciiTheme="minorHAnsi" w:hAnsiTheme="minorHAnsi"/>
          <w:sz w:val="19"/>
          <w:szCs w:val="19"/>
        </w:rPr>
        <w:t>1</w:t>
      </w:r>
      <w:r>
        <w:rPr>
          <w:rFonts w:asciiTheme="minorHAnsi" w:hAnsiTheme="minorHAnsi"/>
          <w:sz w:val="19"/>
          <w:szCs w:val="19"/>
        </w:rPr>
        <w:t xml:space="preserve">4 net </w:t>
      </w:r>
      <w:r>
        <w:rPr>
          <w:rFonts w:asciiTheme="minorHAnsi" w:hAnsiTheme="minorHAnsi"/>
          <w:sz w:val="19"/>
          <w:szCs w:val="19"/>
        </w:rPr>
        <w:t>log</w:t>
      </w:r>
      <w:r>
        <w:rPr>
          <w:rFonts w:asciiTheme="minorHAnsi" w:hAnsiTheme="minorHAnsi"/>
          <w:sz w:val="19"/>
          <w:szCs w:val="19"/>
        </w:rPr>
        <w:t xml:space="preserve"> in </w:t>
      </w:r>
      <w:r>
        <w:rPr>
          <w:rFonts w:asciiTheme="minorHAnsi" w:hAnsiTheme="minorHAnsi"/>
          <w:sz w:val="19"/>
          <w:szCs w:val="19"/>
        </w:rPr>
        <w:t>6</w:t>
      </w:r>
      <w:r>
        <w:rPr>
          <w:rFonts w:asciiTheme="minorHAnsi" w:hAnsiTheme="minorHAnsi"/>
          <w:sz w:val="19"/>
          <w:szCs w:val="19"/>
        </w:rPr>
        <w:t xml:space="preserve">0 minutes. </w:t>
      </w:r>
      <w:r>
        <w:rPr>
          <w:rFonts w:asciiTheme="minorHAnsi" w:hAnsiTheme="minorHAnsi"/>
          <w:sz w:val="19"/>
          <w:szCs w:val="19"/>
        </w:rPr>
        <w:t>T</w:t>
      </w:r>
      <w:r>
        <w:rPr>
          <w:rFonts w:asciiTheme="minorHAnsi" w:hAnsiTheme="minorHAnsi"/>
          <w:sz w:val="19"/>
          <w:szCs w:val="19"/>
        </w:rPr>
        <w:t xml:space="preserve">he bacterial </w:t>
      </w:r>
      <w:r>
        <w:rPr>
          <w:rFonts w:asciiTheme="minorHAnsi" w:hAnsiTheme="minorHAnsi"/>
          <w:sz w:val="19"/>
          <w:szCs w:val="19"/>
        </w:rPr>
        <w:t>endosp</w:t>
      </w:r>
      <w:r>
        <w:rPr>
          <w:rFonts w:asciiTheme="minorHAnsi" w:hAnsiTheme="minorHAnsi"/>
          <w:sz w:val="19"/>
          <w:szCs w:val="19"/>
        </w:rPr>
        <w:t xml:space="preserve">ore </w:t>
      </w:r>
      <w:r>
        <w:rPr>
          <w:rFonts w:asciiTheme="minorHAnsi" w:hAnsiTheme="minorHAnsi"/>
          <w:sz w:val="19"/>
          <w:szCs w:val="19"/>
        </w:rPr>
        <w:t xml:space="preserve">from </w:t>
      </w:r>
      <w:r>
        <w:rPr>
          <w:rFonts w:asciiTheme="minorHAnsi" w:hAnsiTheme="minorHAnsi"/>
          <w:i/>
          <w:sz w:val="19"/>
          <w:szCs w:val="19"/>
        </w:rPr>
        <w:t>Bacillus subtilis</w:t>
      </w:r>
      <w:r>
        <w:rPr>
          <w:rFonts w:asciiTheme="minorHAnsi" w:hAnsiTheme="minorHAnsi"/>
          <w:sz w:val="19"/>
          <w:szCs w:val="19"/>
        </w:rPr>
        <w:t xml:space="preserve"> reached</w:t>
      </w:r>
      <w:r>
        <w:rPr>
          <w:rFonts w:asciiTheme="minorHAnsi" w:hAnsiTheme="minorHAnsi"/>
          <w:sz w:val="19"/>
          <w:szCs w:val="19"/>
        </w:rPr>
        <w:t xml:space="preserve"> a net log reduction of</w:t>
      </w:r>
      <w:r>
        <w:rPr>
          <w:rFonts w:asciiTheme="minorHAnsi" w:hAnsiTheme="minorHAnsi"/>
          <w:sz w:val="19"/>
          <w:szCs w:val="19"/>
        </w:rPr>
        <w:t xml:space="preserve"> </w:t>
      </w:r>
      <w:r>
        <w:rPr>
          <w:rFonts w:asciiTheme="minorHAnsi" w:hAnsiTheme="minorHAnsi"/>
          <w:sz w:val="19"/>
          <w:szCs w:val="19"/>
        </w:rPr>
        <w:t>5.36</w:t>
      </w:r>
      <w:r>
        <w:rPr>
          <w:rFonts w:asciiTheme="minorHAnsi" w:hAnsiTheme="minorHAnsi"/>
          <w:sz w:val="19"/>
          <w:szCs w:val="19"/>
        </w:rPr>
        <w:t>+/- 0.</w:t>
      </w:r>
      <w:r>
        <w:rPr>
          <w:rFonts w:asciiTheme="minorHAnsi" w:hAnsiTheme="minorHAnsi"/>
          <w:sz w:val="19"/>
          <w:szCs w:val="19"/>
        </w:rPr>
        <w:t>06</w:t>
      </w:r>
      <w:r>
        <w:rPr>
          <w:rFonts w:asciiTheme="minorHAnsi" w:hAnsiTheme="minorHAnsi"/>
          <w:sz w:val="19"/>
          <w:szCs w:val="19"/>
        </w:rPr>
        <w:t xml:space="preserve"> net </w:t>
      </w:r>
      <w:r>
        <w:rPr>
          <w:rFonts w:asciiTheme="minorHAnsi" w:hAnsiTheme="minorHAnsi"/>
          <w:sz w:val="19"/>
          <w:szCs w:val="19"/>
        </w:rPr>
        <w:t>log</w:t>
      </w:r>
      <w:r>
        <w:rPr>
          <w:rFonts w:asciiTheme="minorHAnsi" w:hAnsiTheme="minorHAnsi"/>
          <w:sz w:val="19"/>
          <w:szCs w:val="19"/>
        </w:rPr>
        <w:t xml:space="preserve"> in </w:t>
      </w:r>
      <w:r>
        <w:rPr>
          <w:rFonts w:asciiTheme="minorHAnsi" w:hAnsiTheme="minorHAnsi"/>
          <w:sz w:val="19"/>
          <w:szCs w:val="19"/>
        </w:rPr>
        <w:t>45</w:t>
      </w:r>
      <w:r>
        <w:rPr>
          <w:rFonts w:asciiTheme="minorHAnsi" w:hAnsiTheme="minorHAnsi"/>
          <w:sz w:val="19"/>
          <w:szCs w:val="19"/>
        </w:rPr>
        <w:t xml:space="preserve"> minutes. Net </w:t>
      </w:r>
      <w:r>
        <w:rPr>
          <w:rFonts w:asciiTheme="minorHAnsi" w:hAnsiTheme="minorHAnsi"/>
          <w:sz w:val="19"/>
          <w:szCs w:val="19"/>
        </w:rPr>
        <w:t>log</w:t>
      </w:r>
      <w:r>
        <w:rPr>
          <w:rFonts w:asciiTheme="minorHAnsi" w:hAnsiTheme="minorHAnsi"/>
          <w:sz w:val="19"/>
          <w:szCs w:val="19"/>
        </w:rPr>
        <w:t xml:space="preserve"> reduction data can be found </w:t>
      </w:r>
      <w:r>
        <w:rPr>
          <w:rFonts w:asciiTheme="minorHAnsi" w:hAnsiTheme="minorHAnsi"/>
          <w:sz w:val="19"/>
          <w:szCs w:val="19"/>
        </w:rPr>
        <w:t>above</w:t>
      </w:r>
      <w:r>
        <w:rPr>
          <w:rFonts w:asciiTheme="minorHAnsi" w:hAnsiTheme="minorHAnsi"/>
          <w:sz w:val="19"/>
          <w:szCs w:val="19"/>
        </w:rPr>
        <w:t xml:space="preserve"> </w:t>
      </w:r>
      <w:r>
        <w:rPr>
          <w:rFonts w:asciiTheme="minorHAnsi" w:hAnsiTheme="minorHAnsi"/>
          <w:sz w:val="19"/>
          <w:szCs w:val="19"/>
        </w:rPr>
        <w:t xml:space="preserve">in </w:t>
      </w:r>
      <w:r>
        <w:rPr>
          <w:rFonts w:asciiTheme="minorHAnsi" w:hAnsiTheme="minorHAnsi"/>
          <w:b/>
          <w:color w:val="0070C0"/>
          <w:sz w:val="19"/>
          <w:szCs w:val="19"/>
        </w:rPr>
        <w:t>Figure 1</w:t>
      </w:r>
      <w:r>
        <w:rPr>
          <w:rFonts w:asciiTheme="minorHAnsi" w:hAnsiTheme="minorHAnsi"/>
          <w:b/>
          <w:color w:val="0070C0"/>
          <w:sz w:val="19"/>
          <w:szCs w:val="19"/>
        </w:rPr>
        <w:t>2</w:t>
      </w:r>
      <w:r>
        <w:rPr>
          <w:rFonts w:asciiTheme="minorHAnsi" w:hAnsiTheme="minorHAnsi"/>
          <w:b/>
          <w:color w:val="0070C0"/>
          <w:sz w:val="19"/>
          <w:szCs w:val="19"/>
        </w:rPr>
        <w:t xml:space="preserve"> </w:t>
      </w:r>
      <w:r>
        <w:rPr>
          <w:rFonts w:asciiTheme="minorHAnsi" w:hAnsiTheme="minorHAnsi"/>
          <w:sz w:val="19"/>
          <w:szCs w:val="19"/>
        </w:rPr>
        <w:t xml:space="preserve">and </w:t>
      </w:r>
      <w:r>
        <w:rPr>
          <w:rFonts w:asciiTheme="minorHAnsi" w:hAnsiTheme="minorHAnsi"/>
          <w:sz w:val="19"/>
          <w:szCs w:val="19"/>
        </w:rPr>
        <w:t xml:space="preserve">below in </w:t>
      </w:r>
      <w:r>
        <w:rPr>
          <w:rFonts w:asciiTheme="minorHAnsi" w:hAnsiTheme="minorHAnsi"/>
          <w:b/>
          <w:color w:val="0070C0"/>
          <w:sz w:val="19"/>
          <w:szCs w:val="19"/>
        </w:rPr>
        <w:t xml:space="preserve">Table </w:t>
      </w:r>
      <w:r>
        <w:rPr>
          <w:rFonts w:asciiTheme="minorHAnsi" w:hAnsiTheme="minorHAnsi"/>
          <w:b/>
          <w:color w:val="0070C0"/>
          <w:sz w:val="19"/>
          <w:szCs w:val="19"/>
        </w:rPr>
        <w:t>2</w:t>
      </w:r>
      <w:r>
        <w:rPr>
          <w:rFonts w:asciiTheme="minorHAnsi" w:hAnsiTheme="minorHAnsi"/>
          <w:b/>
          <w:color w:val="0070C0"/>
          <w:sz w:val="19"/>
          <w:szCs w:val="19"/>
        </w:rPr>
        <w:t>.</w:t>
      </w:r>
    </w:p>
    <w:p>
      <w:pPr>
        <w:jc w:val="both"/>
        <w:rPr>
          <w:rFonts w:asciiTheme="minorHAnsi" w:hAnsiTheme="minorHAnsi"/>
          <w:b/>
          <w:sz w:val="19"/>
          <w:szCs w:val="19"/>
        </w:rPr>
      </w:pPr>
    </w:p>
    <w:p>
      <w:pPr>
        <w:jc w:val="both"/>
        <w:rPr>
          <w:rFonts w:asciiTheme="minorHAnsi" w:hAnsiTheme="minorHAnsi"/>
          <w:b/>
          <w:sz w:val="20"/>
          <w:szCs w:val="20"/>
        </w:rPr>
      </w:pPr>
      <w:r>
        <w:rPr>
          <w:rFonts w:asciiTheme="minorHAnsi" w:hAnsiTheme="minorHAnsi"/>
          <w:b/>
          <w:sz w:val="20"/>
          <w:szCs w:val="20"/>
        </w:rPr>
        <w:t>Conclusion</w:t>
      </w:r>
      <w:r>
        <w:rPr>
          <w:rFonts w:asciiTheme="minorHAnsi" w:hAnsiTheme="minorHAnsi"/>
          <w:b/>
          <w:sz w:val="20"/>
          <w:szCs w:val="20"/>
        </w:rPr>
        <w:t>s</w:t>
      </w:r>
      <w:r>
        <w:rPr>
          <w:rFonts w:asciiTheme="minorHAnsi" w:hAnsiTheme="minorHAnsi"/>
          <w:b/>
          <w:sz w:val="20"/>
          <w:szCs w:val="20"/>
        </w:rPr>
        <w:t>:</w:t>
      </w:r>
    </w:p>
    <w:p>
      <w:pPr>
        <w:ind w:firstLine="360"/>
        <w:jc w:val="both"/>
        <w:rPr>
          <w:rFonts w:asciiTheme="minorHAnsi" w:hAnsiTheme="minorHAnsi"/>
          <w:b/>
          <w:sz w:val="19"/>
          <w:szCs w:val="19"/>
        </w:rPr>
      </w:pPr>
      <w:r>
        <w:rPr>
          <w:rFonts w:asciiTheme="minorHAnsi" w:hAnsiTheme="minorHAnsi"/>
          <w:b/>
          <w:sz w:val="19"/>
          <w:szCs w:val="19"/>
        </w:rPr>
        <w:tab/>
      </w:r>
    </w:p>
    <w:p>
      <w:pPr>
        <w:ind w:firstLine="360"/>
        <w:jc w:val="both"/>
        <w:rPr>
          <w:rFonts w:asciiTheme="minorHAnsi" w:hAnsiTheme="minorHAnsi" w:cstheme="minorHAnsi"/>
          <w:b/>
          <w:i/>
          <w:sz w:val="20"/>
          <w:szCs w:val="20"/>
        </w:rPr>
      </w:pPr>
      <w:r>
        <w:rPr>
          <w:rFonts w:asciiTheme="minorHAnsi" w:hAnsiTheme="minorHAnsi"/>
          <w:sz w:val="19"/>
          <w:szCs w:val="19"/>
        </w:rPr>
        <w:t>Overall</w:t>
      </w:r>
      <w:r>
        <w:rPr>
          <w:rFonts w:asciiTheme="minorHAnsi" w:hAnsiTheme="minorHAnsi"/>
          <w:sz w:val="19"/>
          <w:szCs w:val="19"/>
        </w:rPr>
        <w:t>,</w:t>
      </w:r>
      <w:r>
        <w:rPr>
          <w:rFonts w:asciiTheme="minorHAnsi" w:hAnsiTheme="minorHAnsi"/>
          <w:sz w:val="19"/>
          <w:szCs w:val="19"/>
        </w:rPr>
        <w:t xml:space="preserve"> the </w:t>
      </w:r>
      <w:r>
        <w:rPr>
          <w:rFonts w:asciiTheme="minorHAnsi" w:hAnsiTheme="minorHAnsi"/>
          <w:sz w:val="19"/>
          <w:szCs w:val="19"/>
        </w:rPr>
        <w:t>High</w:t>
      </w:r>
      <w:r>
        <w:rPr>
          <w:rFonts w:asciiTheme="minorHAnsi" w:hAnsiTheme="minorHAnsi"/>
          <w:sz w:val="19"/>
          <w:szCs w:val="19"/>
        </w:rPr>
        <w:t xml:space="preserve"> </w:t>
      </w:r>
      <w:r>
        <w:rPr>
          <w:rFonts w:asciiTheme="minorHAnsi" w:hAnsiTheme="minorHAnsi"/>
          <w:sz w:val="19"/>
          <w:szCs w:val="19"/>
        </w:rPr>
        <w:t xml:space="preserve">fan </w:t>
      </w:r>
      <w:r>
        <w:rPr>
          <w:rFonts w:asciiTheme="minorHAnsi" w:hAnsiTheme="minorHAnsi"/>
          <w:sz w:val="19"/>
          <w:szCs w:val="19"/>
        </w:rPr>
        <w:t>speed yielded consistent reduction throughout</w:t>
      </w:r>
      <w:r>
        <w:rPr>
          <w:rFonts w:asciiTheme="minorHAnsi" w:hAnsiTheme="minorHAnsi"/>
          <w:sz w:val="19"/>
          <w:szCs w:val="19"/>
        </w:rPr>
        <w:t xml:space="preserve"> testing</w:t>
      </w:r>
      <w:r>
        <w:rPr>
          <w:rFonts w:asciiTheme="minorHAnsi" w:hAnsiTheme="minorHAnsi"/>
          <w:sz w:val="19"/>
          <w:szCs w:val="19"/>
        </w:rPr>
        <w:t>,</w:t>
      </w:r>
      <w:r>
        <w:rPr>
          <w:rFonts w:asciiTheme="minorHAnsi" w:hAnsiTheme="minorHAnsi"/>
          <w:sz w:val="19"/>
          <w:szCs w:val="19"/>
        </w:rPr>
        <w:t xml:space="preserve"> reaching </w:t>
      </w:r>
      <w:r>
        <w:rPr>
          <w:rFonts w:asciiTheme="minorHAnsi" w:hAnsiTheme="minorHAnsi"/>
          <w:sz w:val="19"/>
          <w:szCs w:val="19"/>
        </w:rPr>
        <w:t>a</w:t>
      </w:r>
      <w:r>
        <w:rPr>
          <w:rFonts w:asciiTheme="minorHAnsi" w:hAnsiTheme="minorHAnsi"/>
          <w:sz w:val="19"/>
          <w:szCs w:val="19"/>
        </w:rPr>
        <w:t xml:space="preserve"> </w:t>
      </w:r>
      <w:r>
        <w:rPr>
          <w:rFonts w:asciiTheme="minorHAnsi" w:hAnsiTheme="minorHAnsi"/>
          <w:sz w:val="19"/>
          <w:szCs w:val="19"/>
        </w:rPr>
        <w:t xml:space="preserve">4 </w:t>
      </w:r>
      <w:r>
        <w:rPr>
          <w:rFonts w:asciiTheme="minorHAnsi" w:hAnsiTheme="minorHAnsi"/>
          <w:sz w:val="19"/>
          <w:szCs w:val="19"/>
        </w:rPr>
        <w:t xml:space="preserve">net </w:t>
      </w:r>
      <w:r>
        <w:rPr>
          <w:rFonts w:asciiTheme="minorHAnsi" w:hAnsiTheme="minorHAnsi"/>
          <w:sz w:val="19"/>
          <w:szCs w:val="19"/>
        </w:rPr>
        <w:t>log</w:t>
      </w:r>
      <w:r>
        <w:rPr>
          <w:rFonts w:asciiTheme="minorHAnsi" w:hAnsiTheme="minorHAnsi"/>
          <w:sz w:val="19"/>
          <w:szCs w:val="19"/>
        </w:rPr>
        <w:t xml:space="preserve"> reduction for all species. </w:t>
      </w:r>
      <w:r>
        <w:rPr>
          <w:rFonts w:asciiTheme="minorHAnsi" w:hAnsiTheme="minorHAnsi"/>
          <w:sz w:val="19"/>
          <w:szCs w:val="19"/>
        </w:rPr>
        <w:t>The d</w:t>
      </w:r>
      <w:r>
        <w:rPr>
          <w:rFonts w:asciiTheme="minorHAnsi" w:hAnsiTheme="minorHAnsi"/>
          <w:sz w:val="19"/>
          <w:szCs w:val="19"/>
        </w:rPr>
        <w:t>uration of time</w:t>
      </w:r>
      <w:r>
        <w:rPr>
          <w:rFonts w:asciiTheme="minorHAnsi" w:hAnsiTheme="minorHAnsi"/>
          <w:sz w:val="19"/>
          <w:szCs w:val="19"/>
        </w:rPr>
        <w:t xml:space="preserve"> needed</w:t>
      </w:r>
      <w:r>
        <w:rPr>
          <w:rFonts w:asciiTheme="minorHAnsi" w:hAnsiTheme="minorHAnsi"/>
          <w:sz w:val="19"/>
          <w:szCs w:val="19"/>
        </w:rPr>
        <w:t xml:space="preserve"> to reach</w:t>
      </w:r>
      <w:r>
        <w:rPr>
          <w:rFonts w:asciiTheme="minorHAnsi" w:hAnsiTheme="minorHAnsi"/>
          <w:sz w:val="19"/>
          <w:szCs w:val="19"/>
        </w:rPr>
        <w:t xml:space="preserve"> a 4</w:t>
      </w:r>
      <w:r>
        <w:rPr>
          <w:rFonts w:asciiTheme="minorHAnsi" w:hAnsiTheme="minorHAnsi"/>
          <w:sz w:val="19"/>
          <w:szCs w:val="19"/>
        </w:rPr>
        <w:t xml:space="preserve"> </w:t>
      </w:r>
      <w:r>
        <w:rPr>
          <w:rFonts w:asciiTheme="minorHAnsi" w:hAnsiTheme="minorHAnsi"/>
          <w:sz w:val="19"/>
          <w:szCs w:val="19"/>
        </w:rPr>
        <w:t xml:space="preserve">net </w:t>
      </w:r>
      <w:r>
        <w:rPr>
          <w:rFonts w:asciiTheme="minorHAnsi" w:hAnsiTheme="minorHAnsi"/>
          <w:sz w:val="19"/>
          <w:szCs w:val="19"/>
        </w:rPr>
        <w:t>log reduction</w:t>
      </w:r>
      <w:r>
        <w:rPr>
          <w:rFonts w:asciiTheme="minorHAnsi" w:hAnsiTheme="minorHAnsi"/>
          <w:sz w:val="19"/>
          <w:szCs w:val="19"/>
        </w:rPr>
        <w:t xml:space="preserve"> var</w:t>
      </w:r>
      <w:r>
        <w:rPr>
          <w:rFonts w:asciiTheme="minorHAnsi" w:hAnsiTheme="minorHAnsi"/>
          <w:sz w:val="19"/>
          <w:szCs w:val="19"/>
        </w:rPr>
        <w:t>ied</w:t>
      </w:r>
      <w:r>
        <w:rPr>
          <w:rFonts w:asciiTheme="minorHAnsi" w:hAnsiTheme="minorHAnsi"/>
          <w:sz w:val="19"/>
          <w:szCs w:val="19"/>
        </w:rPr>
        <w:t xml:space="preserve"> from </w:t>
      </w:r>
      <w:r>
        <w:rPr>
          <w:rFonts w:asciiTheme="minorHAnsi" w:hAnsiTheme="minorHAnsi"/>
          <w:sz w:val="19"/>
          <w:szCs w:val="19"/>
        </w:rPr>
        <w:t>15</w:t>
      </w:r>
      <w:r>
        <w:rPr>
          <w:rFonts w:asciiTheme="minorHAnsi" w:hAnsiTheme="minorHAnsi"/>
          <w:sz w:val="19"/>
          <w:szCs w:val="19"/>
        </w:rPr>
        <w:t xml:space="preserve"> to </w:t>
      </w:r>
      <w:r>
        <w:rPr>
          <w:rFonts w:asciiTheme="minorHAnsi" w:hAnsiTheme="minorHAnsi"/>
          <w:sz w:val="19"/>
          <w:szCs w:val="19"/>
        </w:rPr>
        <w:t>7</w:t>
      </w:r>
      <w:r>
        <w:rPr>
          <w:rFonts w:asciiTheme="minorHAnsi" w:hAnsiTheme="minorHAnsi"/>
          <w:sz w:val="19"/>
          <w:szCs w:val="19"/>
        </w:rPr>
        <w:t>0 minute</w:t>
      </w:r>
      <w:r>
        <w:rPr>
          <w:rFonts w:asciiTheme="minorHAnsi" w:hAnsiTheme="minorHAnsi"/>
          <w:sz w:val="19"/>
          <w:szCs w:val="19"/>
        </w:rPr>
        <w:t>s.</w:t>
      </w:r>
    </w:p>
    <w:p>
      <w:pPr>
        <w:rPr>
          <w:rFonts w:asciiTheme="minorHAnsi" w:hAnsiTheme="minorHAnsi" w:cstheme="minorHAnsi"/>
          <w:b/>
          <w:i/>
          <w:sz w:val="20"/>
          <w:szCs w:val="20"/>
        </w:rPr>
      </w:pPr>
    </w:p>
    <w:p>
      <w:pPr>
        <w:rPr>
          <w:rFonts w:asciiTheme="minorHAnsi" w:hAnsiTheme="minorHAnsi" w:cstheme="minorHAnsi"/>
          <w:b/>
          <w:sz w:val="20"/>
          <w:szCs w:val="20"/>
        </w:rPr>
      </w:pPr>
      <w:r>
        <w:rPr>
          <w:rFonts w:asciiTheme="minorHAnsi" w:hAnsiTheme="minorHAnsi" w:cstheme="minorHAnsi"/>
          <w:b/>
          <w:sz w:val="20"/>
          <w:szCs w:val="20"/>
        </w:rPr>
        <w:t xml:space="preserve">Deviations and </w:t>
      </w:r>
      <w:r>
        <w:rPr>
          <w:rFonts w:asciiTheme="minorHAnsi" w:hAnsiTheme="minorHAnsi" w:cstheme="minorHAnsi"/>
          <w:b/>
          <w:sz w:val="20"/>
          <w:szCs w:val="20"/>
        </w:rPr>
        <w:t>Acceptance Criteria</w:t>
      </w:r>
      <w:r>
        <w:rPr>
          <w:rFonts w:asciiTheme="minorHAnsi" w:hAnsiTheme="minorHAnsi" w:cstheme="minorHAnsi"/>
          <w:b/>
          <w:sz w:val="20"/>
          <w:szCs w:val="20"/>
        </w:rPr>
        <w:t>:</w:t>
      </w:r>
    </w:p>
    <w:p>
      <w:pPr>
        <w:rPr>
          <w:rFonts w:asciiTheme="minorHAnsi" w:hAnsiTheme="minorHAnsi" w:cstheme="minorHAnsi"/>
          <w:b/>
          <w:sz w:val="20"/>
          <w:szCs w:val="20"/>
        </w:rPr>
      </w:pPr>
    </w:p>
    <w:p>
      <w:pPr>
        <w:rPr>
          <w:rFonts w:asciiTheme="minorHAnsi" w:hAnsiTheme="minorHAnsi" w:cstheme="minorHAnsi"/>
          <w:sz w:val="19"/>
          <w:szCs w:val="19"/>
        </w:rPr>
      </w:pPr>
      <w:r>
        <w:rPr>
          <w:rFonts w:asciiTheme="minorHAnsi" w:hAnsiTheme="minorHAnsi" w:cstheme="minorHAnsi"/>
          <w:sz w:val="19"/>
          <w:szCs w:val="19"/>
        </w:rPr>
        <w:t>No deviations from the protocol were noted throughout the</w:t>
      </w:r>
      <w:r>
        <w:rPr>
          <w:rFonts w:asciiTheme="minorHAnsi" w:hAnsiTheme="minorHAnsi" w:cstheme="minorHAnsi"/>
          <w:sz w:val="19"/>
          <w:szCs w:val="19"/>
        </w:rPr>
        <w:t xml:space="preserve"> test</w:t>
      </w:r>
      <w:r>
        <w:rPr>
          <w:rFonts w:asciiTheme="minorHAnsi" w:hAnsiTheme="minorHAnsi" w:cstheme="minorHAnsi"/>
          <w:sz w:val="19"/>
          <w:szCs w:val="19"/>
        </w:rPr>
        <w:t xml:space="preserve"> trials.</w:t>
      </w:r>
      <w:r>
        <w:rPr>
          <w:rFonts w:asciiTheme="minorHAnsi" w:hAnsiTheme="minorHAnsi" w:cstheme="minorHAnsi"/>
          <w:sz w:val="19"/>
          <w:szCs w:val="19"/>
        </w:rPr>
        <w:t xml:space="preserve"> </w:t>
      </w:r>
      <w:r>
        <w:rPr>
          <w:rFonts w:asciiTheme="minorHAnsi" w:hAnsiTheme="minorHAnsi" w:cstheme="minorHAnsi"/>
          <w:sz w:val="19"/>
          <w:szCs w:val="19"/>
        </w:rPr>
        <w:t xml:space="preserve"> Because of the nature of the data and the normal variation, there was no need to perform statistical analyses. All </w:t>
      </w:r>
      <w:r>
        <w:rPr>
          <w:rFonts w:asciiTheme="minorHAnsi" w:hAnsiTheme="minorHAnsi" w:cstheme="minorHAnsi"/>
          <w:sz w:val="19"/>
          <w:szCs w:val="19"/>
        </w:rPr>
        <w:t xml:space="preserve">final endpoints </w:t>
      </w:r>
      <w:r>
        <w:rPr>
          <w:rFonts w:asciiTheme="minorHAnsi" w:hAnsiTheme="minorHAnsi" w:cstheme="minorHAnsi"/>
          <w:sz w:val="19"/>
          <w:szCs w:val="19"/>
        </w:rPr>
        <w:t>were ≤0.3</w:t>
      </w:r>
      <w:r>
        <w:rPr>
          <w:rFonts w:asciiTheme="minorHAnsi" w:hAnsiTheme="minorHAnsi" w:cstheme="minorHAnsi"/>
          <w:sz w:val="19"/>
          <w:szCs w:val="19"/>
        </w:rPr>
        <w:t>0</w:t>
      </w:r>
      <w:r>
        <w:rPr>
          <w:rFonts w:asciiTheme="minorHAnsi" w:hAnsiTheme="minorHAnsi" w:cstheme="minorHAnsi"/>
          <w:sz w:val="19"/>
          <w:szCs w:val="19"/>
        </w:rPr>
        <w:t xml:space="preserve"> standard deviations from the mean. </w:t>
      </w:r>
      <w:r>
        <w:rPr>
          <w:rFonts w:asciiTheme="minorHAnsi" w:hAnsiTheme="minorHAnsi" w:cstheme="minorHAnsi"/>
          <w:sz w:val="19"/>
          <w:szCs w:val="19"/>
        </w:rPr>
        <w:t xml:space="preserve">In accordance </w:t>
      </w:r>
      <w:r>
        <w:rPr>
          <w:rFonts w:asciiTheme="minorHAnsi" w:hAnsiTheme="minorHAnsi" w:cstheme="minorHAnsi"/>
          <w:sz w:val="19"/>
          <w:szCs w:val="19"/>
        </w:rPr>
        <w:t>with ARE Labs standard practice</w:t>
      </w:r>
      <w:r>
        <w:rPr>
          <w:rFonts w:asciiTheme="minorHAnsi" w:hAnsiTheme="minorHAnsi" w:cstheme="minorHAnsi"/>
          <w:sz w:val="19"/>
          <w:szCs w:val="19"/>
        </w:rPr>
        <w:t>s,</w:t>
      </w:r>
      <w:r>
        <w:rPr>
          <w:rFonts w:asciiTheme="minorHAnsi" w:hAnsiTheme="minorHAnsi" w:cstheme="minorHAnsi"/>
          <w:sz w:val="19"/>
          <w:szCs w:val="19"/>
        </w:rPr>
        <w:t xml:space="preserve"> and in compliance with GLPs, all data w</w:t>
      </w:r>
      <w:r>
        <w:rPr>
          <w:rFonts w:asciiTheme="minorHAnsi" w:hAnsiTheme="minorHAnsi" w:cstheme="minorHAnsi"/>
          <w:sz w:val="19"/>
          <w:szCs w:val="19"/>
        </w:rPr>
        <w:t>ere</w:t>
      </w:r>
      <w:r>
        <w:rPr>
          <w:rFonts w:asciiTheme="minorHAnsi" w:hAnsiTheme="minorHAnsi" w:cstheme="minorHAnsi"/>
          <w:sz w:val="19"/>
          <w:szCs w:val="19"/>
        </w:rPr>
        <w:t xml:space="preserve"> verified for accuracy.</w:t>
      </w:r>
    </w:p>
    <w:p>
      <w:pPr>
        <w:rPr>
          <w:rFonts w:asciiTheme="minorHAnsi" w:hAnsiTheme="minorHAnsi" w:cstheme="minorHAnsi"/>
          <w:b/>
          <w:sz w:val="20"/>
          <w:szCs w:val="20"/>
        </w:rPr>
      </w:pPr>
    </w:p>
    <w:p>
      <w:pPr>
        <w:rPr>
          <w:rFonts w:asciiTheme="minorHAnsi" w:hAnsiTheme="minorHAnsi" w:cstheme="minorHAnsi"/>
          <w:b/>
          <w:sz w:val="20"/>
          <w:szCs w:val="20"/>
        </w:rPr>
      </w:pPr>
      <w:r>
        <w:rPr>
          <w:rFonts w:asciiTheme="minorHAnsi" w:hAnsiTheme="minorHAnsi" w:cstheme="minorHAnsi"/>
          <w:b/>
          <w:sz w:val="20"/>
          <w:szCs w:val="20"/>
        </w:rPr>
        <w:t xml:space="preserve">Overall </w:t>
      </w:r>
      <w:r>
        <w:rPr>
          <w:rFonts w:asciiTheme="minorHAnsi" w:hAnsiTheme="minorHAnsi" w:cstheme="minorHAnsi"/>
          <w:b/>
          <w:sz w:val="20"/>
          <w:szCs w:val="20"/>
        </w:rPr>
        <w:t xml:space="preserve">Study </w:t>
      </w:r>
      <w:r>
        <w:rPr>
          <w:rFonts w:asciiTheme="minorHAnsi" w:hAnsiTheme="minorHAnsi" w:cstheme="minorHAnsi"/>
          <w:b/>
          <w:sz w:val="20"/>
          <w:szCs w:val="20"/>
        </w:rPr>
        <w:t>Summary:</w:t>
      </w:r>
    </w:p>
    <w:p>
      <w:pPr>
        <w:rPr>
          <w:rFonts w:asciiTheme="minorHAnsi" w:hAnsiTheme="minorHAnsi" w:cstheme="minorHAnsi"/>
          <w:b/>
          <w:sz w:val="20"/>
          <w:szCs w:val="20"/>
        </w:rPr>
      </w:pPr>
    </w:p>
    <w:p>
      <w:pPr>
        <w:jc w:val="both"/>
        <w:tabs>
          <w:tab w:val="left" w:pos="360"/>
        </w:tabs>
        <w:rPr>
          <w:rFonts w:asciiTheme="minorHAnsi" w:hAnsiTheme="minorHAnsi" w:cstheme="minorHAnsi"/>
          <w:sz w:val="19"/>
          <w:szCs w:val="19"/>
        </w:rPr>
      </w:pPr>
      <w:r>
        <w:rPr>
          <w:rFonts w:asciiTheme="minorHAnsi" w:hAnsiTheme="minorHAnsi" w:cstheme="minorHAnsi"/>
          <w:b/>
          <w:sz w:val="20"/>
          <w:szCs w:val="20"/>
        </w:rPr>
        <w:tab/>
      </w:r>
      <w:r>
        <w:rPr>
          <w:rFonts w:asciiTheme="minorHAnsi" w:hAnsiTheme="minorHAnsi" w:cstheme="minorHAnsi"/>
          <w:sz w:val="19"/>
          <w:szCs w:val="19"/>
        </w:rPr>
        <w:t xml:space="preserve">In conclusion, the </w:t>
      </w:r>
      <w:r>
        <w:rPr>
          <w:rFonts w:asciiTheme="minorHAnsi" w:hAnsiTheme="minorHAnsi" w:cstheme="minorHAnsi"/>
          <w:sz w:val="19"/>
          <w:szCs w:val="19"/>
        </w:rPr>
        <w:t>VKPro</w:t>
      </w:r>
      <w:r>
        <w:rPr>
          <w:rFonts w:asciiTheme="minorHAnsi" w:hAnsiTheme="minorHAnsi" w:cstheme="minorHAnsi"/>
          <w:sz w:val="19"/>
          <w:szCs w:val="19"/>
        </w:rPr>
        <w:t xml:space="preserve"> </w:t>
      </w:r>
      <w:r>
        <w:rPr>
          <w:rFonts w:asciiTheme="minorHAnsi" w:hAnsiTheme="minorHAnsi" w:cstheme="minorHAnsi"/>
          <w:sz w:val="19"/>
          <w:szCs w:val="19"/>
        </w:rPr>
        <w:t xml:space="preserve">device achieved </w:t>
      </w:r>
      <w:r>
        <w:rPr>
          <w:rFonts w:asciiTheme="minorHAnsi" w:hAnsiTheme="minorHAnsi" w:cstheme="minorHAnsi"/>
          <w:sz w:val="19"/>
          <w:szCs w:val="19"/>
        </w:rPr>
        <w:t xml:space="preserve">a </w:t>
      </w:r>
      <w:r>
        <w:rPr>
          <w:rFonts w:asciiTheme="minorHAnsi" w:hAnsiTheme="minorHAnsi" w:cstheme="minorHAnsi"/>
          <w:sz w:val="19"/>
          <w:szCs w:val="19"/>
        </w:rPr>
        <w:t>&gt;</w:t>
      </w:r>
      <w:r>
        <w:rPr>
          <w:rFonts w:asciiTheme="minorHAnsi" w:hAnsiTheme="minorHAnsi" w:cstheme="minorHAnsi"/>
          <w:sz w:val="19"/>
          <w:szCs w:val="19"/>
        </w:rPr>
        <w:t>4</w:t>
      </w:r>
      <w:r>
        <w:rPr>
          <w:rFonts w:asciiTheme="minorHAnsi" w:hAnsiTheme="minorHAnsi" w:cstheme="minorHAnsi"/>
          <w:sz w:val="19"/>
          <w:szCs w:val="19"/>
        </w:rPr>
        <w:t xml:space="preserve"> </w:t>
      </w:r>
      <w:r>
        <w:rPr>
          <w:rFonts w:asciiTheme="minorHAnsi" w:hAnsiTheme="minorHAnsi" w:cstheme="minorHAnsi"/>
          <w:sz w:val="19"/>
          <w:szCs w:val="19"/>
        </w:rPr>
        <w:t xml:space="preserve">net </w:t>
      </w:r>
      <w:r>
        <w:rPr>
          <w:rFonts w:asciiTheme="minorHAnsi" w:hAnsiTheme="minorHAnsi" w:cstheme="minorHAnsi"/>
          <w:sz w:val="19"/>
          <w:szCs w:val="19"/>
        </w:rPr>
        <w:t>log</w:t>
      </w:r>
      <w:r>
        <w:rPr>
          <w:rFonts w:asciiTheme="minorHAnsi" w:hAnsiTheme="minorHAnsi" w:cstheme="minorHAnsi"/>
          <w:sz w:val="19"/>
          <w:szCs w:val="19"/>
        </w:rPr>
        <w:t xml:space="preserve"> reduction of all bioaerosols</w:t>
      </w:r>
      <w:r>
        <w:rPr>
          <w:rFonts w:asciiTheme="minorHAnsi" w:hAnsiTheme="minorHAnsi" w:cstheme="minorHAnsi"/>
          <w:sz w:val="19"/>
          <w:szCs w:val="19"/>
        </w:rPr>
        <w:t xml:space="preserve"> within a relatively short period of time</w:t>
      </w:r>
      <w:r>
        <w:rPr>
          <w:rFonts w:asciiTheme="minorHAnsi" w:hAnsiTheme="minorHAnsi" w:cstheme="minorHAnsi"/>
          <w:sz w:val="19"/>
          <w:szCs w:val="19"/>
        </w:rPr>
        <w:t xml:space="preserve">. </w:t>
      </w:r>
      <w:r>
        <w:rPr>
          <w:rFonts w:asciiTheme="minorHAnsi" w:hAnsiTheme="minorHAnsi" w:cstheme="minorHAnsi"/>
          <w:sz w:val="19"/>
          <w:szCs w:val="19"/>
        </w:rPr>
        <w:t xml:space="preserve">The device proved to be highly effective in reducing the </w:t>
      </w:r>
      <w:r>
        <w:rPr>
          <w:rFonts w:asciiTheme="minorHAnsi" w:hAnsiTheme="minorHAnsi" w:cstheme="minorHAnsi"/>
          <w:sz w:val="19"/>
          <w:szCs w:val="19"/>
        </w:rPr>
        <w:t xml:space="preserve">viability of a broad range of </w:t>
      </w:r>
      <w:r>
        <w:rPr>
          <w:rFonts w:asciiTheme="minorHAnsi" w:hAnsiTheme="minorHAnsi" w:cstheme="minorHAnsi"/>
          <w:sz w:val="19"/>
          <w:szCs w:val="19"/>
        </w:rPr>
        <w:t>aerosol</w:t>
      </w:r>
      <w:r>
        <w:rPr>
          <w:rFonts w:asciiTheme="minorHAnsi" w:hAnsiTheme="minorHAnsi" w:cstheme="minorHAnsi"/>
          <w:sz w:val="19"/>
          <w:szCs w:val="19"/>
        </w:rPr>
        <w:t>ized</w:t>
      </w:r>
      <w:r>
        <w:rPr>
          <w:rFonts w:asciiTheme="minorHAnsi" w:hAnsiTheme="minorHAnsi" w:cstheme="minorHAnsi"/>
          <w:sz w:val="19"/>
          <w:szCs w:val="19"/>
        </w:rPr>
        <w:t xml:space="preserve"> microbial species. It is anticipated that such a reduction should reduce the likelihood of individuals </w:t>
      </w:r>
      <w:r>
        <w:rPr>
          <w:rFonts w:asciiTheme="minorHAnsi" w:hAnsiTheme="minorHAnsi" w:cstheme="minorHAnsi"/>
          <w:sz w:val="19"/>
          <w:szCs w:val="19"/>
        </w:rPr>
        <w:t xml:space="preserve">being exposed to and </w:t>
      </w:r>
      <w:r>
        <w:rPr>
          <w:rFonts w:asciiTheme="minorHAnsi" w:hAnsiTheme="minorHAnsi" w:cstheme="minorHAnsi"/>
          <w:sz w:val="19"/>
          <w:szCs w:val="19"/>
        </w:rPr>
        <w:t xml:space="preserve">contracting airborne infectious diseases in any enclosed environment, medical or otherwise. </w:t>
      </w:r>
      <w:r>
        <w:rPr>
          <w:rFonts w:asciiTheme="minorHAnsi" w:hAnsiTheme="minorHAnsi" w:cstheme="minorHAnsi"/>
          <w:sz w:val="19"/>
          <w:szCs w:val="19"/>
        </w:rPr>
        <w:t>Given a higher starting concentration and longer trials</w:t>
      </w:r>
      <w:r>
        <w:rPr>
          <w:rFonts w:asciiTheme="minorHAnsi" w:hAnsiTheme="minorHAnsi" w:cstheme="minorHAnsi"/>
          <w:sz w:val="19"/>
          <w:szCs w:val="19"/>
        </w:rPr>
        <w:t>,</w:t>
      </w:r>
      <w:r>
        <w:rPr>
          <w:rFonts w:asciiTheme="minorHAnsi" w:hAnsiTheme="minorHAnsi" w:cstheme="minorHAnsi"/>
          <w:sz w:val="19"/>
          <w:szCs w:val="19"/>
        </w:rPr>
        <w:t xml:space="preserve"> it is safe to assume that a 6 net log reduction is achievable for all organisms. </w:t>
      </w:r>
    </w:p>
    <w:p>
      <w:pPr>
        <w:jc w:val="both"/>
        <w:tabs>
          <w:tab w:val="left" w:pos="360"/>
        </w:tabs>
        <w:rPr>
          <w:rFonts w:asciiTheme="minorHAnsi" w:hAnsiTheme="minorHAnsi" w:cstheme="minorHAnsi"/>
          <w:sz w:val="19"/>
          <w:szCs w:val="19"/>
        </w:rPr>
        <w:sectPr>
          <w:type w:val="continuous"/>
          <w:pgSz w:w="12240" w:h="15840" w:code="1"/>
          <w:pgMar w:top="1440" w:right="1080" w:bottom="720" w:left="1080" w:header="720" w:footer="432" w:gutter="0"/>
          <w:cols w:space="720" w:num="2"/>
          <w:docGrid w:linePitch="360"/>
          <w:headerReference w:type="even" r:id="rId17"/>
          <w:headerReference w:type="default" r:id="rId18"/>
        </w:sectPr>
      </w:pPr>
    </w:p>
    <w:p>
      <w:pPr>
        <w:jc w:val="both"/>
        <w:tabs>
          <w:tab w:val="left" w:pos="360"/>
        </w:tabs>
        <w:rPr>
          <w:rFonts w:asciiTheme="minorHAnsi" w:hAnsiTheme="minorHAnsi" w:cstheme="minorHAnsi"/>
          <w:sz w:val="19"/>
          <w:szCs w:val="19"/>
        </w:rPr>
      </w:pPr>
    </w:p>
    <w:p>
      <w:pPr>
        <w:jc w:val="both"/>
        <w:tabs>
          <w:tab w:val="left" w:pos="360"/>
        </w:tabs>
        <w:rPr>
          <w:rFonts w:asciiTheme="minorHAnsi" w:hAnsiTheme="minorHAnsi" w:cstheme="minorHAnsi"/>
          <w:sz w:val="19"/>
          <w:szCs w:val="19"/>
        </w:rPr>
      </w:pPr>
    </w:p>
    <w:p>
      <w:pPr>
        <w:jc w:val="center"/>
        <w:rPr>
          <w:rFonts w:asciiTheme="minorHAnsi" w:hAnsiTheme="minorHAnsi" w:cstheme="minorHAnsi"/>
          <w:b/>
          <w:i/>
          <w:sz w:val="20"/>
          <w:szCs w:val="20"/>
        </w:rPr>
      </w:pPr>
      <w:r>
        <w:rPr>
          <w:noProof/>
        </w:rPr>
        <w:drawing>
          <wp:inline distT="0" distB="0" distL="0" distR="0">
            <wp:extent cx="6256882" cy="3795522"/>
            <wp:effectExtent l="0" t="0" r="0" b="0"/>
            <wp:docPr id="1043" name="shape1043"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19">
                      <a:extLst>
                        <a:ext uri="{28A0092B-C50C-407E-A947-70E740481C1C}">
                          <a14:useLocalDpi xmlns:a14="http://schemas.microsoft.com/office/drawing/2010/main" val="0"/>
                        </a:ext>
                      </a:extLst>
                    </a:blip>
                    <a:srcRect/>
                    <a:stretch>
                      <a:fillRect/>
                    </a:stretch>
                  </pic:blipFill>
                  <pic:spPr>
                    <a:xfrm>
                      <a:off x="0" y="0"/>
                      <a:ext cx="6256882" cy="3795522"/>
                    </a:xfrm>
                    <a:prstGeom prst="rect"/>
                    <a:noFill/>
                    <a:ln>
                      <a:noFill/>
                    </a:ln>
                  </pic:spPr>
                </pic:pic>
              </a:graphicData>
            </a:graphic>
          </wp:inline>
        </w:drawing>
      </w:r>
    </w:p>
    <w:p>
      <w:pPr>
        <w:jc w:val="center"/>
        <w:rPr>
          <w:rFonts w:asciiTheme="minorHAnsi" w:hAnsiTheme="minorHAnsi" w:cstheme="minorHAnsi"/>
          <w:b/>
          <w:i/>
          <w:sz w:val="20"/>
          <w:szCs w:val="20"/>
        </w:rPr>
        <w:sectPr>
          <w:type w:val="continuous"/>
          <w:pgSz w:w="12240" w:h="15840" w:code="1"/>
          <w:pgMar w:top="1440" w:right="1080" w:bottom="720" w:left="1080" w:header="720" w:footer="432" w:gutter="0"/>
          <w:cols w:space="720"/>
          <w:docGrid w:linePitch="360"/>
        </w:sectPr>
      </w:pPr>
      <w:r>
        <w:rPr>
          <w:rFonts w:ascii="Garamond" w:hAnsi="Garamond" w:cstheme="minorHAnsi"/>
          <w:b/>
          <w:color w:val="0070C0"/>
          <w:sz w:val="18"/>
          <w:szCs w:val="20"/>
        </w:rPr>
        <w:t>Table</w:t>
      </w:r>
      <w:r>
        <w:rPr>
          <w:rFonts w:ascii="Garamond" w:hAnsi="Garamond" w:cstheme="minorHAnsi"/>
          <w:b/>
          <w:color w:val="0070C0"/>
          <w:sz w:val="18"/>
          <w:szCs w:val="20"/>
        </w:rPr>
        <w:t xml:space="preserve"> </w:t>
      </w:r>
      <w:r>
        <w:rPr>
          <w:rFonts w:ascii="Garamond" w:hAnsi="Garamond" w:cstheme="minorHAnsi"/>
          <w:b/>
          <w:color w:val="0070C0"/>
          <w:sz w:val="18"/>
          <w:szCs w:val="20"/>
        </w:rPr>
        <w:t>2</w:t>
      </w:r>
      <w:r>
        <w:rPr>
          <w:rFonts w:ascii="Garamond" w:hAnsi="Garamond" w:cstheme="minorHAnsi"/>
          <w:b/>
          <w:sz w:val="18"/>
          <w:szCs w:val="20"/>
        </w:rPr>
        <w:t>:</w:t>
      </w:r>
      <w:r>
        <w:rPr>
          <w:rFonts w:ascii="Garamond" w:hAnsi="Garamond" w:cstheme="minorHAnsi"/>
          <w:sz w:val="18"/>
          <w:szCs w:val="20"/>
        </w:rPr>
        <w:t xml:space="preserve"> </w:t>
      </w:r>
      <w:r>
        <w:rPr>
          <w:rFonts w:ascii="Garamond" w:hAnsi="Garamond" w:cstheme="minorHAnsi"/>
          <w:i/>
          <w:sz w:val="18"/>
          <w:szCs w:val="20"/>
        </w:rPr>
        <w:t>Executive Summary Data for All Organisms Average of Triplicate Testing for Each Organism</w:t>
      </w:r>
    </w:p>
    <w:p>
      <w:pPr>
        <w:jc w:val="both"/>
        <w:tabs>
          <w:tab w:val="left" w:pos="360"/>
        </w:tabs>
        <w:rPr>
          <w:rFonts w:asciiTheme="minorHAnsi" w:hAnsiTheme="minorHAnsi" w:cstheme="minorHAnsi"/>
          <w:sz w:val="19"/>
          <w:szCs w:val="19"/>
        </w:rPr>
      </w:pPr>
    </w:p>
    <w:p>
      <w:pPr>
        <w:jc w:val="center"/>
        <w:rPr>
          <w:rFonts w:ascii="Arial" w:hAnsi="Arial" w:cs="Arial"/>
          <w:b/>
        </w:rPr>
        <w:sectPr>
          <w:type w:val="continuous"/>
          <w:pgSz w:w="12240" w:h="15840" w:code="1"/>
          <w:pgMar w:top="1440" w:right="1080" w:bottom="720" w:left="1080" w:header="720" w:footer="432" w:gutter="0"/>
          <w:cols w:space="720" w:num="2"/>
          <w:docGrid w:linePitch="360"/>
        </w:sectPr>
      </w:pPr>
    </w:p>
    <w:p>
      <w:pPr>
        <w:rPr>
          <w:rFonts w:ascii="Arial" w:hAnsi="Arial" w:cs="Arial"/>
          <w:b/>
        </w:rPr>
      </w:pPr>
    </w:p>
    <w:p>
      <w:pPr>
        <w:rPr>
          <w:rFonts w:ascii="Arial" w:hAnsi="Arial" w:cs="Arial"/>
          <w:b/>
        </w:rPr>
      </w:pPr>
    </w:p>
    <w:p>
      <w:pPr>
        <w:rPr>
          <w:rFonts w:ascii="Arial" w:hAnsi="Arial" w:cs="Arial"/>
          <w:b/>
        </w:rPr>
      </w:pPr>
    </w:p>
    <w:p>
      <w:pPr>
        <w:rPr>
          <w:rFonts w:ascii="Arial" w:hAnsi="Arial" w:cs="Arial"/>
          <w:b/>
        </w:rPr>
      </w:pPr>
      <w:r>
        <w:rPr>
          <w:rFonts w:ascii="Arial" w:hAnsi="Arial" w:cs="Arial"/>
          <w:b/>
        </w:rPr>
        <w:t>References</w:t>
      </w:r>
    </w:p>
    <w:p>
      <w:pPr>
        <w:rPr>
          <w:rFonts w:ascii="Arial" w:hAnsi="Arial" w:cs="Arial"/>
          <w:b/>
        </w:rPr>
      </w:pPr>
    </w:p>
    <w:p>
      <w:pPr>
        <w:rPr>
          <w:rFonts w:asciiTheme="minorHAnsi" w:hAnsiTheme="minorHAnsi" w:cstheme="minorHAnsi"/>
          <w:sz w:val="20"/>
        </w:rPr>
      </w:pPr>
      <w:r>
        <w:rPr>
          <w:rFonts w:asciiTheme="minorHAnsi" w:hAnsiTheme="minorHAnsi" w:cstheme="minorHAnsi"/>
          <w:sz w:val="20"/>
        </w:rPr>
        <w:t xml:space="preserve">Feller, W. (1950). </w:t>
      </w:r>
      <w:r>
        <w:rPr>
          <w:rFonts w:asciiTheme="minorHAnsi" w:hAnsiTheme="minorHAnsi" w:cstheme="minorHAnsi"/>
          <w:i/>
          <w:sz w:val="20"/>
        </w:rPr>
        <w:t>An introduction to probability theory and its applications</w:t>
      </w:r>
      <w:r>
        <w:rPr>
          <w:rFonts w:asciiTheme="minorHAnsi" w:hAnsiTheme="minorHAnsi" w:cstheme="minorHAnsi"/>
          <w:sz w:val="20"/>
        </w:rPr>
        <w:t>. Wiley.</w:t>
      </w:r>
    </w:p>
    <w:p>
      <w:pPr>
        <w:rPr>
          <w:rFonts w:asciiTheme="minorHAnsi" w:hAnsiTheme="minorHAnsi" w:cstheme="minorHAnsi"/>
          <w:sz w:val="20"/>
        </w:rPr>
      </w:pPr>
    </w:p>
    <w:p>
      <w:pPr>
        <w:rPr>
          <w:rFonts w:asciiTheme="minorHAnsi" w:hAnsiTheme="minorHAnsi" w:cstheme="minorHAnsi"/>
          <w:sz w:val="20"/>
          <w:szCs w:val="20"/>
        </w:rPr>
      </w:pPr>
      <w:r>
        <w:rPr>
          <w:rFonts w:asciiTheme="minorHAnsi" w:hAnsiTheme="minorHAnsi" w:cstheme="minorHAnsi"/>
          <w:sz w:val="20"/>
          <w:szCs w:val="20"/>
        </w:rPr>
        <w:t>T. Reponen, K. Willeke, V. Ulevicius et al.</w:t>
      </w:r>
      <w:r>
        <w:rPr>
          <w:rFonts w:asciiTheme="minorHAnsi" w:hAnsiTheme="minorHAnsi" w:cstheme="minorHAnsi"/>
          <w:i/>
          <w:sz w:val="20"/>
          <w:szCs w:val="20"/>
        </w:rPr>
        <w:t xml:space="preserve"> Techniques of Dispersion of Microorganisms in Air. </w:t>
      </w:r>
      <w:r>
        <w:rPr>
          <w:rFonts w:asciiTheme="minorHAnsi" w:hAnsiTheme="minorHAnsi" w:cstheme="minorHAnsi"/>
          <w:sz w:val="20"/>
          <w:szCs w:val="20"/>
        </w:rPr>
        <w:t>Aerosol Science and Technology. 27: 1997. pp. 405-421.</w:t>
      </w:r>
    </w:p>
    <w:p>
      <w:pPr>
        <w:rPr>
          <w:rFonts w:asciiTheme="minorHAnsi" w:hAnsiTheme="minorHAnsi" w:cstheme="minorHAnsi"/>
          <w:sz w:val="20"/>
          <w:szCs w:val="20"/>
        </w:rPr>
      </w:pPr>
    </w:p>
    <w:p>
      <w:pPr>
        <w:rPr>
          <w:rFonts w:asciiTheme="minorHAnsi" w:hAnsiTheme="minorHAnsi" w:cstheme="minorHAnsi"/>
          <w:sz w:val="20"/>
          <w:szCs w:val="20"/>
        </w:rPr>
      </w:pPr>
      <w:r>
        <w:rPr>
          <w:rFonts w:asciiTheme="minorHAnsi" w:hAnsiTheme="minorHAnsi" w:cstheme="minorHAnsi"/>
          <w:sz w:val="20"/>
          <w:szCs w:val="20"/>
        </w:rPr>
        <w:t>Ding and Wing.</w:t>
      </w:r>
      <w:r>
        <w:rPr>
          <w:rFonts w:asciiTheme="minorHAnsi" w:hAnsiTheme="minorHAnsi" w:cstheme="minorHAnsi"/>
          <w:i/>
          <w:sz w:val="20"/>
          <w:szCs w:val="20"/>
        </w:rPr>
        <w:t xml:space="preserve">  Effects of Sampling Time on the Total Recovery rate of AGI-30 Impingers for E. coli</w:t>
      </w:r>
      <w:r>
        <w:rPr>
          <w:rFonts w:asciiTheme="minorHAnsi" w:hAnsiTheme="minorHAnsi" w:cstheme="minorHAnsi"/>
          <w:sz w:val="20"/>
          <w:szCs w:val="20"/>
        </w:rPr>
        <w:t>.  Aerosol and Air Quality Research, Vol. 1, No. 1, 2001, pp. 31-36.</w:t>
      </w:r>
    </w:p>
    <w:p>
      <w:pPr>
        <w:rPr>
          <w:rFonts w:asciiTheme="minorHAnsi" w:hAnsiTheme="minorHAnsi" w:cstheme="minorHAnsi"/>
          <w:b/>
        </w:rPr>
      </w:pPr>
    </w:p>
    <w:p>
      <w:pPr>
        <w:rPr>
          <w:rFonts w:asciiTheme="minorHAnsi" w:hAnsiTheme="minorHAnsi" w:cstheme="minorHAnsi"/>
          <w:sz w:val="20"/>
          <w:szCs w:val="20"/>
        </w:rPr>
      </w:pPr>
      <w:r>
        <w:rPr>
          <w:rFonts w:asciiTheme="minorHAnsi" w:hAnsiTheme="minorHAnsi" w:cstheme="minorHAnsi"/>
          <w:sz w:val="20"/>
          <w:szCs w:val="20"/>
        </w:rPr>
        <w:t>U.S. Departme</w:t>
      </w:r>
      <w:r>
        <w:rPr>
          <w:rFonts w:asciiTheme="minorHAnsi" w:hAnsiTheme="minorHAnsi" w:cstheme="minorHAnsi"/>
          <w:sz w:val="20"/>
          <w:szCs w:val="20"/>
        </w:rPr>
        <w:t xml:space="preserve">nt of Health and Human Services </w:t>
      </w:r>
      <w:r>
        <w:rPr>
          <w:rFonts w:asciiTheme="minorHAnsi" w:hAnsiTheme="minorHAnsi" w:cstheme="minorHAnsi"/>
          <w:sz w:val="20"/>
          <w:szCs w:val="20"/>
        </w:rPr>
        <w:t>Food and Drug Administration</w:t>
      </w:r>
      <w:r>
        <w:rPr>
          <w:rFonts w:asciiTheme="minorHAnsi" w:hAnsiTheme="minorHAnsi" w:cstheme="minorHAnsi"/>
          <w:sz w:val="20"/>
          <w:szCs w:val="20"/>
        </w:rPr>
        <w:t xml:space="preserve">. </w:t>
      </w:r>
      <w:r>
        <w:rPr>
          <w:rFonts w:asciiTheme="minorHAnsi" w:hAnsiTheme="minorHAnsi" w:cstheme="minorHAnsi"/>
          <w:i/>
          <w:sz w:val="20"/>
          <w:szCs w:val="20"/>
        </w:rPr>
        <w:t>Enforcement Policy for Sterilizers, Disinfectant Devices, and Air Purifiers During the Coronavirus Disease 2019 (COVID-19) Public Health Emergency</w:t>
      </w:r>
      <w:r>
        <w:rPr>
          <w:rFonts w:asciiTheme="minorHAnsi" w:hAnsiTheme="minorHAnsi" w:cstheme="minorHAnsi"/>
          <w:i/>
          <w:sz w:val="20"/>
          <w:szCs w:val="20"/>
        </w:rPr>
        <w:t xml:space="preserve"> </w:t>
      </w:r>
      <w:r>
        <w:rPr>
          <w:rFonts w:asciiTheme="minorHAnsi" w:hAnsiTheme="minorHAnsi" w:cstheme="minorHAnsi"/>
          <w:i/>
          <w:sz w:val="20"/>
          <w:szCs w:val="20"/>
        </w:rPr>
        <w:t>Guidance for Industry and</w:t>
      </w:r>
      <w:r>
        <w:rPr>
          <w:rFonts w:asciiTheme="minorHAnsi" w:hAnsiTheme="minorHAnsi" w:cstheme="minorHAnsi"/>
          <w:i/>
          <w:sz w:val="20"/>
          <w:szCs w:val="20"/>
        </w:rPr>
        <w:t xml:space="preserve"> Food and Drug Administration Staff</w:t>
      </w:r>
      <w:r>
        <w:rPr>
          <w:rFonts w:asciiTheme="minorHAnsi" w:hAnsiTheme="minorHAnsi" w:cstheme="minorHAnsi"/>
          <w:sz w:val="20"/>
          <w:szCs w:val="20"/>
        </w:rPr>
        <w:t>. March 2009</w:t>
      </w:r>
    </w:p>
    <w:p>
      <w:pPr>
        <w:rPr>
          <w:b/>
          <w:u w:val="single" w:color="auto"/>
        </w:rPr>
      </w:pPr>
    </w:p>
    <w:p>
      <w:pPr>
        <w:rPr>
          <w:b/>
          <w:u w:val="single" w:color="auto"/>
        </w:rPr>
      </w:pPr>
      <w:r>
        <w:rPr>
          <w:b/>
          <w:u w:val="single" w:color="auto"/>
        </w:rPr>
        <w:br w:type="page"/>
      </w:r>
    </w:p>
    <w:p>
      <w:pPr>
        <w:rPr>
          <w:b/>
          <w:u w:val="single" w:color="auto"/>
        </w:rPr>
        <w:sectPr>
          <w:type w:val="continuous"/>
          <w:pgSz w:w="12240" w:h="15840" w:code="1"/>
          <w:pgMar w:top="1440" w:right="1080" w:bottom="720" w:left="1080" w:header="720" w:footer="432" w:gutter="0"/>
          <w:cols w:space="720"/>
          <w:docGrid w:linePitch="360"/>
        </w:sectPr>
      </w:pPr>
    </w:p>
    <w:p>
      <w:pPr>
        <w:rPr>
          <w:b/>
          <w:u w:val="single" w:color="auto"/>
        </w:rPr>
      </w:pPr>
    </w:p>
    <w:p>
      <w:pPr>
        <w:jc w:val="center"/>
        <w:rPr>
          <w:b/>
          <w:u w:val="single" w:color="auto"/>
        </w:rPr>
      </w:pPr>
      <w:r>
        <w:rPr>
          <w:b/>
          <w:u w:val="single" w:color="auto"/>
        </w:rPr>
        <w:t>Analytical Testing Facility</w:t>
      </w:r>
    </w:p>
    <w:p>
      <w:pPr>
        <w:jc w:val="center"/>
        <w:rPr>
          <w:b/>
        </w:rPr>
      </w:pPr>
    </w:p>
    <w:p>
      <w:pPr>
        <w:jc w:val="center"/>
      </w:pPr>
      <w:r>
        <w:t>Aerosol Research and Engineering Labs, Inc.</w:t>
      </w:r>
    </w:p>
    <w:p>
      <w:pPr>
        <w:jc w:val="center"/>
      </w:pPr>
      <w:r>
        <w:t>15320 S. Cornice Street</w:t>
      </w:r>
    </w:p>
    <w:p>
      <w:pPr>
        <w:jc w:val="center"/>
      </w:pPr>
      <w:r>
        <w:t>Olathe</w:t>
      </w:r>
      <w:r>
        <w:t xml:space="preserve">, </w:t>
      </w:r>
      <w:r>
        <w:t>KS</w:t>
      </w:r>
      <w:r>
        <w:t xml:space="preserve"> </w:t>
      </w:r>
      <w:r>
        <w:t>66062</w:t>
      </w:r>
    </w:p>
    <w:p>
      <w:pPr>
        <w:jc w:val="center"/>
        <w:rPr>
          <w:b/>
          <w:u w:val="single" w:color="auto"/>
        </w:rPr>
      </w:pPr>
    </w:p>
    <w:p>
      <w:pPr>
        <w:jc w:val="center"/>
        <w:rPr>
          <w:b/>
          <w:u w:val="single" w:color="auto"/>
        </w:rPr>
      </w:pPr>
    </w:p>
    <w:p>
      <w:pPr>
        <w:jc w:val="center"/>
        <w:rPr>
          <w:b/>
          <w:u w:val="single" w:color="auto"/>
        </w:rPr>
      </w:pPr>
      <w:r>
        <w:rPr>
          <w:b/>
          <w:u w:val="single" w:color="auto"/>
        </w:rPr>
        <w:t>Project #</w:t>
      </w:r>
    </w:p>
    <w:p>
      <w:pPr>
        <w:jc w:val="center"/>
      </w:pPr>
    </w:p>
    <w:p>
      <w:pPr>
        <w:jc w:val="center"/>
      </w:pPr>
      <w:r>
        <w:t>10</w:t>
      </w:r>
      <w:r>
        <w:t>893</w:t>
      </w:r>
      <w:r>
        <w:t>.</w:t>
      </w:r>
      <w:r>
        <w:t>2</w:t>
      </w:r>
      <w:r>
        <w:t>0</w:t>
      </w:r>
    </w:p>
    <w:p/>
    <w:p>
      <w:pPr>
        <w:jc w:val="center"/>
        <w:rPr>
          <w:b/>
          <w:u w:val="single" w:color="auto"/>
        </w:rPr>
      </w:pPr>
      <w:r>
        <w:rPr>
          <w:b/>
          <w:u w:val="single" w:color="auto"/>
        </w:rPr>
        <w:t>Study Director</w:t>
      </w:r>
    </w:p>
    <w:p>
      <w:pPr>
        <w:jc w:val="center"/>
      </w:pPr>
    </w:p>
    <w:p>
      <w:pPr>
        <w:jc w:val="center"/>
      </w:pPr>
      <w:r>
        <w:t>Jamie Balarashti</w:t>
      </w:r>
    </w:p>
    <w:p>
      <w:pPr>
        <w:jc w:val="center"/>
      </w:pPr>
      <w:r>
        <w:t>Aerosol Research and Engineering Laboratories</w:t>
      </w:r>
    </w:p>
    <w:p>
      <w:pPr>
        <w:rPr>
          <w:u w:val="single" w:color="auto"/>
        </w:rPr>
      </w:pPr>
    </w:p>
    <w:p>
      <w:pPr>
        <w:rPr>
          <w:b/>
          <w:u w:val="single" w:color="auto"/>
        </w:rPr>
      </w:pPr>
      <w:r>
        <w:rPr>
          <w:b/>
          <w:u w:val="single" w:color="auto"/>
        </w:rPr>
        <w:t>GLP Statement</w:t>
      </w:r>
    </w:p>
    <w:p/>
    <w:p>
      <w:pPr>
        <w:ind w:firstLine="720"/>
        <w:rPr>
          <w:noProof/>
        </w:rPr>
      </w:pPr>
      <w:r>
        <w:t>We, the undersigned, herby certify that the work described herein was conducted by Aerosol Research and Engineering Laboratories in compliance with FDA Good Laboratory Practices (GLP) as defined in 21 CFR, Part 58.</w:t>
      </w:r>
    </w:p>
    <w:p>
      <w:pPr>
        <w:ind w:firstLine="720"/>
        <w:rPr>
          <w:noProof/>
        </w:rPr>
      </w:pPr>
    </w:p>
    <w:p>
      <w:pPr>
        <w:ind w:firstLine="720"/>
        <w:rPr>
          <w:noProof/>
        </w:rPr>
      </w:pPr>
    </w:p>
    <w:p>
      <w:pPr>
        <w:rPr>
          <w:b/>
          <w:noProof/>
          <w:u w:val="single" w:color="auto"/>
        </w:rPr>
      </w:pPr>
      <w:r>
        <w:rPr>
          <w:b/>
          <w:noProof/>
          <w:u w:val="single" w:color="auto"/>
        </w:rPr>
        <w:t xml:space="preserve">Conflict </w:t>
      </w:r>
      <w:r>
        <w:rPr>
          <w:b/>
          <w:noProof/>
          <w:u w:val="single" w:color="auto"/>
        </w:rPr>
        <w:t>of</w:t>
      </w:r>
      <w:r>
        <w:rPr>
          <w:b/>
          <w:noProof/>
          <w:u w:val="single" w:color="auto"/>
        </w:rPr>
        <w:t xml:space="preserve"> Inter</w:t>
      </w:r>
      <w:r>
        <w:rPr>
          <w:b/>
          <w:noProof/>
          <w:u w:val="single" w:color="auto"/>
        </w:rPr>
        <w:t>e</w:t>
      </w:r>
      <w:r>
        <w:rPr>
          <w:b/>
          <w:noProof/>
          <w:u w:val="single" w:color="auto"/>
        </w:rPr>
        <w:t xml:space="preserve">st </w:t>
      </w:r>
      <w:r>
        <w:rPr>
          <w:b/>
          <w:noProof/>
          <w:u w:val="single" w:color="auto"/>
        </w:rPr>
        <w:t>Statement</w:t>
      </w:r>
    </w:p>
    <w:p>
      <w:pPr>
        <w:rPr>
          <w:noProof/>
        </w:rPr>
      </w:pPr>
    </w:p>
    <w:p>
      <w:pPr>
        <w:rPr>
          <w:sz w:val="20"/>
          <w:szCs w:val="20"/>
        </w:rPr>
      </w:pPr>
      <w:r>
        <w:t xml:space="preserve">Aerosol Research and Engineering Laboratories, Inc. have no affiliations with, or involvement in any capacity, with </w:t>
      </w:r>
      <w:r>
        <w:t>Radic8</w:t>
      </w:r>
      <w:r>
        <w:t xml:space="preserve">’s </w:t>
      </w:r>
      <w:r>
        <w:t>financial interests such as; membership, employment, stock ownership, or other equity interest.</w:t>
      </w:r>
    </w:p>
    <w:p>
      <w:pPr>
        <w:rPr>
          <w:sz w:val="20"/>
          <w:szCs w:val="20"/>
        </w:rPr>
      </w:pPr>
    </w:p>
    <w:p>
      <w:pPr>
        <w:ind w:left="720"/>
        <w:rPr>
          <w:b/>
        </w:rPr>
      </w:pPr>
      <w:r>
        <w:rPr>
          <w:noProof/>
        </w:rPr>
        <w:drawing>
          <wp:anchor distT="0" distB="0" distL="114300" distR="114300" behindDoc="0" locked="0" layoutInCell="1" simplePos="0" relativeHeight="251753472" allowOverlap="1" hidden="0">
            <wp:simplePos x="0" y="0"/>
            <wp:positionH relativeFrom="column">
              <wp:posOffset>434340</wp:posOffset>
            </wp:positionH>
            <wp:positionV relativeFrom="paragraph">
              <wp:posOffset>8255</wp:posOffset>
            </wp:positionV>
            <wp:extent cx="2543175" cy="1419225"/>
            <wp:effectExtent l="0" t="0" r="0" b="0"/>
            <wp:wrapNone/>
            <wp:docPr id="1044" name="shape1044"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pic:cNvPicPr>
                  </pic:nvPicPr>
                  <pic:blipFill>
                    <a:blip r:embed="rId20">
                      <a:extLst>
                        <a:ext uri="{28A0092B-C50C-407E-A947-70E740481C1C}">
                          <a14:useLocalDpi xmlns:a14="http://schemas.microsoft.com/office/drawing/2010/main" val="0"/>
                        </a:ext>
                      </a:extLst>
                    </a:blip>
                    <a:srcRect/>
                    <a:stretch>
                      <a:fillRect/>
                    </a:stretch>
                  </pic:blipFill>
                  <pic:spPr>
                    <a:xfrm>
                      <a:off x="0" y="0"/>
                      <a:ext cx="2543175" cy="1419225"/>
                    </a:xfrm>
                    <a:prstGeom prst="rect"/>
                  </pic:spPr>
                </pic:pic>
              </a:graphicData>
            </a:graphic>
          </wp:anchor>
        </w:drawing>
      </w:r>
      <w:r>
        <w:rPr>
          <w:noProof/>
          <w:sz w:val="20"/>
          <w:szCs w:val="20"/>
        </w:rPr>
        <mc:AlternateContent>
          <mc:Choice Requires="wps">
            <w:drawing>
              <wp:anchor distT="0" distB="0" distL="114300" distR="114300" behindDoc="0" locked="0" layoutInCell="1" simplePos="0" relativeHeight="251744256" allowOverlap="1" hidden="0">
                <wp:simplePos x="0" y="0"/>
                <wp:positionH relativeFrom="column">
                  <wp:posOffset>3584274</wp:posOffset>
                </wp:positionH>
                <wp:positionV relativeFrom="paragraph">
                  <wp:posOffset>146733</wp:posOffset>
                </wp:positionV>
                <wp:extent cx="1906438" cy="780415"/>
                <wp:effectExtent l="0" t="0" r="0" b="0"/>
                <wp:wrapNone/>
                <wp:docPr id="1045" name="shape1045"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6438" cy="780415"/>
                        </a:xfrm>
                        <a:prstGeom prst="rect">
                          <a:avLst/>
                        </a:prstGeom>
                        <a:solidFill>
                          <a:srgbClr val="ffffff"/>
                        </a:solidFill>
                        <a:ln>
                          <a:noFill/>
                        </a:ln>
                      </wps:spPr>
                      <wps:txbx>
                        <w:txbxContent>
                          <w:p/>
                          <w:p>
                            <w:pPr>
                              <w:rPr>
                                <w:sz w:val="20"/>
                                <w:szCs w:val="20"/>
                                <w:u w:val="single" w:color="auto"/>
                              </w:rPr>
                            </w:pPr>
                            <w:r>
                              <w:rPr>
                                <w:sz w:val="20"/>
                                <w:szCs w:val="20"/>
                                <w:u w:val="single" w:color="auto"/>
                              </w:rPr>
                              <w:t xml:space="preserve">             7/14/2021                 </w:t>
                            </w:r>
                          </w:p>
                          <w:p>
                            <w:r>
                              <w:t xml:space="preserve">            </w:t>
                            </w:r>
                            <w:r>
                              <w:t>D</w:t>
                            </w:r>
                            <w:r>
                              <w:t>ate</w:t>
                            </w:r>
                          </w:p>
                        </w:txbxContent>
                      </wps:txbx>
                      <wps:bodyPr rot="0" vert="horz" wrap="square" lIns="91440" tIns="45720" rIns="91440" bIns="45720" anchor="t" upright="1">
                        <a:noAutofit/>
                      </wps:bodyPr>
                    </wps:wsp>
                  </a:graphicData>
                </a:graphic>
              </wp:anchor>
            </w:drawing>
          </mc:Choice>
          <mc:Fallback>
            <w:pict>
              <v:rect id="1045" style="position:absolute;margin-left:282.226pt;margin-top:11.5538pt;width:150.113pt;height:61.45pt;mso-position-horizontal-relative:column;mso-position-vertical-relative:line;v-text-anchor:top;mso-wrap-style:square;z-index:251744256" o:allowincell="t" filled="t" fillcolor="#ffffff" stroked="f">
                <v:textbox inset="2.5mm,1.3mm,2.5mm,1.3mm">
                  <w:txbxContent>
                    <w:p/>
                    <w:p>
                      <w:pPr>
                        <w:rPr>
                          <w:sz w:val="20"/>
                          <w:szCs w:val="20"/>
                          <w:u w:val="single" w:color="auto"/>
                        </w:rPr>
                      </w:pPr>
                      <w:r>
                        <w:rPr>
                          <w:sz w:val="20"/>
                          <w:szCs w:val="20"/>
                          <w:u w:val="single" w:color="auto"/>
                        </w:rPr>
                        <w:t xml:space="preserve">             7/14/2021                 </w:t>
                      </w:r>
                    </w:p>
                    <w:p>
                      <w:r>
                        <w:t xml:space="preserve">            </w:t>
                      </w:r>
                      <w:r>
                        <w:t>D</w:t>
                      </w:r>
                      <w:r>
                        <w:t>ate</w:t>
                      </w:r>
                    </w:p>
                  </w:txbxContent>
                </v:textbox>
                <v:stroke joinstyle="round"/>
              </v:rect>
            </w:pict>
          </mc:Fallback>
        </mc:AlternateContent>
      </w:r>
      <w:r>
        <w:rPr>
          <w:b/>
        </w:rPr>
        <w:t>Study Director</w:t>
      </w:r>
      <w:r>
        <w:rPr>
          <w:b/>
        </w:rPr>
        <w:t>:</w:t>
      </w:r>
    </w:p>
    <w:p>
      <w:pPr>
        <w:ind w:left="720"/>
      </w:pPr>
    </w:p>
    <w:p>
      <w:pPr>
        <w:ind w:left="720"/>
      </w:pPr>
      <w:r>
        <w:t>_________________________</w:t>
      </w:r>
      <w:r>
        <w:tab/>
      </w:r>
      <w:r>
        <w:tab/>
      </w:r>
      <w:r>
        <w:tab/>
      </w:r>
      <w:r>
        <w:t>__________</w:t>
      </w:r>
    </w:p>
    <w:p>
      <w:pPr>
        <w:ind w:left="720"/>
        <w:jc w:val="both"/>
        <w:tabs>
          <w:tab w:val="left" w:pos="6120"/>
        </w:tabs>
      </w:pPr>
      <w:r>
        <w:t>Jamie D. Balarashti</w:t>
      </w:r>
      <w:r>
        <w:tab/>
      </w:r>
      <w:r>
        <w:t>Date</w:t>
      </w:r>
    </w:p>
    <w:p>
      <w:pPr>
        <w:ind w:left="720"/>
      </w:pPr>
      <w:r>
        <w:t>Study Director</w:t>
      </w:r>
    </w:p>
    <w:p>
      <w:pPr>
        <w:ind w:left="720"/>
      </w:pPr>
      <w:r>
        <w:t>ARE Labs, Inc.</w:t>
      </w:r>
    </w:p>
    <w:p>
      <w:pPr>
        <w:ind w:left="720"/>
      </w:pPr>
    </w:p>
    <w:p>
      <w:pPr>
        <w:ind w:left="720"/>
      </w:pPr>
      <w:r>
        <w:rPr>
          <w:noProof/>
        </w:rPr>
        <w:drawing>
          <wp:anchor distT="0" distB="0" distL="114300" distR="114300" behindDoc="1" locked="0" layoutInCell="1" simplePos="0" relativeHeight="251756544" allowOverlap="1" hidden="0">
            <wp:simplePos x="0" y="0"/>
            <wp:positionH relativeFrom="column">
              <wp:posOffset>1180665</wp:posOffset>
            </wp:positionH>
            <wp:positionV relativeFrom="paragraph">
              <wp:posOffset>103097</wp:posOffset>
            </wp:positionV>
            <wp:extent cx="314325" cy="1587500"/>
            <wp:effectExtent l="645633" t="581471" r="645633" b="581471"/>
            <wp:wrapNone/>
            <wp:docPr id="1046" name="shape1046"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pic:cNvPicPr>
                  </pic:nvPicPr>
                  <pic:blipFill>
                    <a:blip r:embed="rId21">
                      <a:extLst>
                        <a:ext uri="{28A0092B-C50C-407E-A947-70E740481C1C}">
                          <a14:useLocalDpi xmlns:a14="http://schemas.microsoft.com/office/drawing/2010/main" val="0"/>
                        </a:ext>
                      </a:extLst>
                    </a:blip>
                    <a:srcRect l="30959" t="5705" r="11423" b="9547"/>
                    <a:stretch>
                      <a:fillRect/>
                    </a:stretch>
                  </pic:blipFill>
                  <pic:spPr>
                    <a:xfrm rot="15959431">
                      <a:off x="0" y="0"/>
                      <a:ext cx="314325" cy="1587500"/>
                    </a:xfrm>
                    <a:prstGeom prst="rect"/>
                    <a:noFill/>
                    <a:ln>
                      <a:noFill/>
                    </a:ln>
                  </pic:spPr>
                </pic:pic>
              </a:graphicData>
            </a:graphic>
          </wp:anchor>
        </w:drawing>
      </w:r>
    </w:p>
    <w:p>
      <w:pPr>
        <w:ind w:left="720"/>
      </w:pPr>
    </w:p>
    <w:p>
      <w:pPr>
        <w:ind w:left="720"/>
        <w:rPr>
          <w:b/>
        </w:rPr>
      </w:pPr>
      <w:r>
        <w:rPr>
          <w:b/>
        </w:rPr>
        <w:t>Principal</w:t>
      </w:r>
      <w:r>
        <w:rPr>
          <w:b/>
        </w:rPr>
        <w:t xml:space="preserve"> Investigator</w:t>
      </w:r>
      <w:r>
        <w:rPr>
          <w:b/>
        </w:rPr>
        <w:t>:</w:t>
      </w:r>
    </w:p>
    <w:p>
      <w:pPr>
        <w:ind w:left="720"/>
        <w:tabs>
          <w:tab w:val="left" w:pos="7470"/>
        </w:tabs>
      </w:pPr>
      <w:r>
        <w:rPr>
          <w:noProof/>
        </w:rPr>
        <mc:AlternateContent>
          <mc:Choice Requires="wps">
            <w:drawing>
              <wp:anchor distT="0" distB="0" distL="114300" distR="114300" behindDoc="0" locked="0" layoutInCell="1" simplePos="0" relativeHeight="251745280" allowOverlap="1" hidden="0">
                <wp:simplePos x="0" y="0"/>
                <wp:positionH relativeFrom="column">
                  <wp:posOffset>3600907</wp:posOffset>
                </wp:positionH>
                <wp:positionV relativeFrom="paragraph">
                  <wp:posOffset>141707</wp:posOffset>
                </wp:positionV>
                <wp:extent cx="1609344" cy="780415"/>
                <wp:effectExtent l="0" t="0" r="0" b="0"/>
                <wp:wrapNone/>
                <wp:docPr id="1047" name="shape1047"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9344" cy="780415"/>
                        </a:xfrm>
                        <a:prstGeom prst="rect">
                          <a:avLst/>
                        </a:prstGeom>
                        <a:solidFill>
                          <a:srgbClr val="ffffff"/>
                        </a:solidFill>
                        <a:ln>
                          <a:noFill/>
                        </a:ln>
                      </wps:spPr>
                      <wps:txbx>
                        <w:txbxContent>
                          <w:p/>
                          <w:p>
                            <w:pPr>
                              <w:rPr>
                                <w:sz w:val="20"/>
                                <w:szCs w:val="20"/>
                                <w:u w:val="single" w:color="auto"/>
                              </w:rPr>
                            </w:pPr>
                            <w:r>
                              <w:rPr>
                                <w:sz w:val="20"/>
                                <w:szCs w:val="20"/>
                                <w:u w:val="single" w:color="auto"/>
                              </w:rPr>
                              <w:t xml:space="preserve">           7/14/2021                   </w:t>
                            </w:r>
                          </w:p>
                          <w:p>
                            <w:r>
                              <w:t xml:space="preserve">           </w:t>
                            </w:r>
                            <w:r>
                              <w:t>D</w:t>
                            </w:r>
                            <w:r>
                              <w:t>ate</w:t>
                            </w:r>
                          </w:p>
                        </w:txbxContent>
                      </wps:txbx>
                      <wps:bodyPr rot="0" vert="horz" wrap="square" lIns="91440" tIns="45720" rIns="91440" bIns="45720" anchor="t" upright="1">
                        <a:noAutofit/>
                      </wps:bodyPr>
                    </wps:wsp>
                  </a:graphicData>
                </a:graphic>
              </wp:anchor>
            </w:drawing>
          </mc:Choice>
          <mc:Fallback>
            <w:pict>
              <v:rect id="1047" style="position:absolute;margin-left:283.536pt;margin-top:11.158pt;width:126.72pt;height:61.45pt;mso-position-horizontal-relative:column;mso-position-vertical-relative:line;v-text-anchor:top;mso-wrap-style:square;z-index:251745280" o:allowincell="t" filled="t" fillcolor="#ffffff" stroked="f">
                <v:textbox inset="2.5mm,1.3mm,2.5mm,1.3mm">
                  <w:txbxContent>
                    <w:p/>
                    <w:p>
                      <w:pPr>
                        <w:rPr>
                          <w:sz w:val="20"/>
                          <w:szCs w:val="20"/>
                          <w:u w:val="single" w:color="auto"/>
                        </w:rPr>
                      </w:pPr>
                      <w:r>
                        <w:rPr>
                          <w:sz w:val="20"/>
                          <w:szCs w:val="20"/>
                          <w:u w:val="single" w:color="auto"/>
                        </w:rPr>
                        <w:t xml:space="preserve">           7/14/2021                   </w:t>
                      </w:r>
                    </w:p>
                    <w:p>
                      <w:r>
                        <w:t xml:space="preserve">           </w:t>
                      </w:r>
                      <w:r>
                        <w:t>D</w:t>
                      </w:r>
                      <w:r>
                        <w:t>ate</w:t>
                      </w:r>
                    </w:p>
                  </w:txbxContent>
                </v:textbox>
                <v:stroke joinstyle="round"/>
              </v:rect>
            </w:pict>
          </mc:Fallback>
        </mc:AlternateContent>
      </w:r>
    </w:p>
    <w:p>
      <w:pPr>
        <w:ind w:left="720"/>
      </w:pPr>
      <w:r>
        <w:tab/>
      </w:r>
    </w:p>
    <w:p>
      <w:pPr>
        <w:ind w:left="900"/>
        <w:jc w:val="both"/>
      </w:pPr>
      <w:r>
        <w:rPr>
          <w:noProof/>
        </w:rPr>
        <mc:AlternateContent>
          <mc:Choice Requires="wps">
            <w:drawing>
              <wp:anchor distT="0" distB="0" distL="114300" distR="114300" behindDoc="0" locked="0" layoutInCell="1" simplePos="0" relativeHeight="251757568" allowOverlap="1" hidden="0">
                <wp:simplePos x="0" y="0"/>
                <wp:positionH relativeFrom="column">
                  <wp:posOffset>328171</wp:posOffset>
                </wp:positionH>
                <wp:positionV relativeFrom="paragraph">
                  <wp:posOffset>153819</wp:posOffset>
                </wp:positionV>
                <wp:extent cx="1876425" cy="28575"/>
                <wp:effectExtent l="4762" t="4762" r="4762" b="4762"/>
                <wp:wrapNone/>
                <wp:docPr id="1048" name="shape1048"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1876425" cy="28575"/>
                        </a:xfrm>
                        <a:prstGeom prst="line">
                          <a:avLst/>
                        </a:prstGeom>
                      </wps:spPr>
                      <wps:style>
                        <a:lnRef idx="1">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25.8403pt;margin-top:12.1117pt;width:147.75pt;height:2.25pt;mso-position-horizontal-relative:column;mso-position-vertical-relative:line;v-text-anchor:top;mso-wrap-style:square;flip:y;z-index:251757568" o:allowincell="t" filled="f" strokecolor="#0" strokeweight="0.75pt"/>
            </w:pict>
          </mc:Fallback>
        </mc:AlternateContent>
      </w:r>
    </w:p>
    <w:p>
      <w:pPr>
        <w:ind w:left="900"/>
        <w:jc w:val="both"/>
      </w:pPr>
      <w:r>
        <w:t>W. Andrew Dexter M.S.</w:t>
      </w:r>
    </w:p>
    <w:p>
      <w:pPr>
        <w:ind w:left="900"/>
        <w:jc w:val="both"/>
      </w:pPr>
      <w:r>
        <w:t>Staff Research Scientist</w:t>
      </w:r>
    </w:p>
    <w:p>
      <w:pPr>
        <w:ind w:left="900"/>
        <w:jc w:val="both"/>
      </w:pPr>
      <w:r>
        <w:t>ARE Labs, Inc.</w:t>
      </w:r>
    </w:p>
    <w:p>
      <w:pPr>
        <w:ind w:left="720"/>
        <w:jc w:val="both"/>
      </w:pPr>
      <w:r>
        <w:br w:type="page"/>
      </w:r>
    </w:p>
    <w:p>
      <w:pPr>
        <w:ind w:left="720"/>
        <w:jc w:val="both"/>
      </w:pPr>
    </w:p>
    <w:p>
      <w:pPr>
        <w:jc w:val="center"/>
        <w:rPr>
          <w:rFonts w:ascii="Arial" w:hAnsi="Arial" w:cs="Arial"/>
          <w:b/>
          <w:sz w:val="48"/>
          <w:szCs w:val="40"/>
        </w:rPr>
      </w:pPr>
      <w:r>
        <w:rPr>
          <w:rFonts w:ascii="Arial" w:hAnsi="Arial" w:cs="Arial"/>
          <w:b/>
          <w:sz w:val="48"/>
          <w:szCs w:val="40"/>
        </w:rPr>
        <w:t>APPENDIX A: Additional Figures</w:t>
      </w:r>
    </w:p>
    <w:p>
      <w:pPr>
        <w:jc w:val="center"/>
        <w:rPr>
          <w:rFonts w:ascii="Arial" w:hAnsi="Arial" w:cs="Arial"/>
          <w:b/>
          <w:sz w:val="48"/>
          <w:szCs w:val="40"/>
        </w:rPr>
      </w:pPr>
    </w:p>
    <w:p>
      <w:pPr>
        <w:jc w:val="center"/>
        <w:rPr>
          <w:rFonts w:ascii="Arial" w:hAnsi="Arial" w:cs="Arial"/>
          <w:b/>
          <w:sz w:val="48"/>
          <w:szCs w:val="40"/>
        </w:rPr>
      </w:pPr>
      <w:r>
        <w:rPr>
          <w:rFonts w:ascii="Arial" w:hAnsi="Arial" w:cs="Arial"/>
          <w:b/>
          <w:noProof/>
          <w:sz w:val="48"/>
          <w:szCs w:val="40"/>
        </w:rPr>
        <w:drawing>
          <wp:inline distT="0" distB="0" distL="0" distR="0">
            <wp:extent cx="5486400" cy="4464687"/>
            <wp:effectExtent l="0" t="0" r="0" b="0"/>
            <wp:docPr id="1049" name="shape1049"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22">
                      <a:extLst>
                        <a:ext uri="{28A0092B-C50C-407E-A947-70E740481C1C}">
                          <a14:useLocalDpi xmlns:a14="http://schemas.microsoft.com/office/drawing/2010/main" val="0"/>
                        </a:ext>
                      </a:extLst>
                    </a:blip>
                    <a:srcRect/>
                    <a:stretch>
                      <a:fillRect/>
                    </a:stretch>
                  </pic:blipFill>
                  <pic:spPr>
                    <a:xfrm>
                      <a:off x="0" y="0"/>
                      <a:ext cx="5486400" cy="4464687"/>
                    </a:xfrm>
                    <a:prstGeom prst="rect"/>
                    <a:noFill/>
                  </pic:spPr>
                </pic:pic>
              </a:graphicData>
            </a:graphic>
          </wp:inline>
        </w:drawing>
      </w:r>
    </w:p>
    <w:p>
      <w:pPr>
        <w:jc w:val="center"/>
        <w:rPr>
          <w:rFonts w:asciiTheme="minorHAnsi" w:hAnsiTheme="minorHAnsi" w:cs="Arial"/>
          <w:i/>
          <w:sz w:val="20"/>
          <w:szCs w:val="20"/>
        </w:rPr>
      </w:pPr>
      <w:r>
        <w:rPr>
          <w:rFonts w:asciiTheme="minorHAnsi" w:hAnsiTheme="minorHAnsi" w:cs="Arial"/>
          <w:b/>
          <w:sz w:val="20"/>
          <w:szCs w:val="20"/>
        </w:rPr>
        <w:t xml:space="preserve">Figure 1A: </w:t>
      </w:r>
      <w:r>
        <w:rPr>
          <w:rFonts w:asciiTheme="minorHAnsi" w:hAnsiTheme="minorHAnsi" w:cs="Arial"/>
          <w:i/>
          <w:sz w:val="20"/>
          <w:szCs w:val="20"/>
        </w:rPr>
        <w:t>Average LOG Reduction for Bacillus Subtillus Trials with Control Trial Data</w:t>
      </w:r>
    </w:p>
    <w:p>
      <w:pPr>
        <w:jc w:val="center"/>
        <w:rPr>
          <w:rFonts w:asciiTheme="minorHAnsi" w:hAnsiTheme="minorHAnsi" w:cs="Arial"/>
          <w:i/>
          <w:sz w:val="20"/>
          <w:szCs w:val="20"/>
        </w:rPr>
      </w:pPr>
    </w:p>
    <w:p>
      <w:pPr>
        <w:jc w:val="center"/>
        <w:rPr>
          <w:rFonts w:asciiTheme="minorHAnsi" w:hAnsiTheme="minorHAnsi" w:cs="Arial"/>
          <w:i/>
          <w:sz w:val="20"/>
          <w:szCs w:val="20"/>
        </w:rPr>
      </w:pPr>
      <w:r>
        <w:rPr>
          <w:rFonts w:asciiTheme="minorHAnsi" w:hAnsiTheme="minorHAnsi" w:cs="Arial"/>
          <w:i/>
          <w:noProof/>
          <w:sz w:val="20"/>
          <w:szCs w:val="20"/>
        </w:rPr>
        <w:drawing>
          <wp:inline distT="0" distB="0" distL="0" distR="0">
            <wp:extent cx="5486400" cy="4966691"/>
            <wp:effectExtent l="0" t="0" r="0" b="0"/>
            <wp:docPr id="1050" name="shape1050"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23">
                      <a:extLst>
                        <a:ext uri="{28A0092B-C50C-407E-A947-70E740481C1C}">
                          <a14:useLocalDpi xmlns:a14="http://schemas.microsoft.com/office/drawing/2010/main" val="0"/>
                        </a:ext>
                      </a:extLst>
                    </a:blip>
                    <a:srcRect/>
                    <a:stretch>
                      <a:fillRect/>
                    </a:stretch>
                  </pic:blipFill>
                  <pic:spPr>
                    <a:xfrm>
                      <a:off x="0" y="0"/>
                      <a:ext cx="5486400" cy="4966691"/>
                    </a:xfrm>
                    <a:prstGeom prst="rect"/>
                    <a:noFill/>
                  </pic:spPr>
                </pic:pic>
              </a:graphicData>
            </a:graphic>
          </wp:inline>
        </w:drawing>
      </w:r>
    </w:p>
    <w:p>
      <w:pPr>
        <w:jc w:val="center"/>
        <w:rPr>
          <w:rFonts w:asciiTheme="minorHAnsi" w:hAnsiTheme="minorHAnsi" w:cs="Arial"/>
          <w:i/>
          <w:sz w:val="20"/>
          <w:szCs w:val="20"/>
        </w:rPr>
      </w:pPr>
      <w:r>
        <w:rPr>
          <w:rFonts w:asciiTheme="minorHAnsi" w:hAnsiTheme="minorHAnsi" w:cs="Arial"/>
          <w:b/>
          <w:sz w:val="20"/>
          <w:szCs w:val="20"/>
        </w:rPr>
        <w:t xml:space="preserve">Figure 2A: </w:t>
      </w:r>
      <w:r>
        <w:rPr>
          <w:rFonts w:asciiTheme="minorHAnsi" w:hAnsiTheme="minorHAnsi" w:cs="Arial"/>
          <w:i/>
          <w:sz w:val="20"/>
          <w:szCs w:val="20"/>
        </w:rPr>
        <w:t xml:space="preserve">Average LOG Reduction for </w:t>
      </w:r>
      <w:r>
        <w:rPr>
          <w:rFonts w:asciiTheme="minorHAnsi" w:hAnsiTheme="minorHAnsi" w:cs="Arial"/>
          <w:i/>
          <w:sz w:val="20"/>
          <w:szCs w:val="20"/>
        </w:rPr>
        <w:t>Aspergillus Brasiliensis</w:t>
      </w:r>
      <w:r>
        <w:rPr>
          <w:rFonts w:asciiTheme="minorHAnsi" w:hAnsiTheme="minorHAnsi" w:cs="Arial"/>
          <w:i/>
          <w:sz w:val="20"/>
          <w:szCs w:val="20"/>
        </w:rPr>
        <w:t xml:space="preserve"> Trials with Control Trial Data</w:t>
      </w:r>
    </w:p>
    <w:p>
      <w:pPr>
        <w:jc w:val="center"/>
        <w:rPr>
          <w:rFonts w:asciiTheme="minorHAnsi" w:hAnsiTheme="minorHAnsi" w:cs="Arial"/>
          <w:i/>
          <w:sz w:val="20"/>
          <w:szCs w:val="20"/>
        </w:rPr>
      </w:pPr>
    </w:p>
    <w:p>
      <w:pPr>
        <w:jc w:val="center"/>
        <w:rPr>
          <w:rFonts w:asciiTheme="minorHAnsi" w:hAnsiTheme="minorHAnsi" w:cs="Arial"/>
          <w:i/>
          <w:sz w:val="20"/>
          <w:szCs w:val="20"/>
        </w:rPr>
      </w:pPr>
      <w:r>
        <w:rPr>
          <w:rFonts w:asciiTheme="minorHAnsi" w:hAnsiTheme="minorHAnsi" w:cs="Arial"/>
          <w:i/>
          <w:noProof/>
          <w:sz w:val="20"/>
          <w:szCs w:val="20"/>
        </w:rPr>
        <w:drawing>
          <wp:inline distT="0" distB="0" distL="0" distR="0">
            <wp:extent cx="5486400" cy="4507418"/>
            <wp:effectExtent l="0" t="0" r="0" b="0"/>
            <wp:docPr id="1051" name="shape1051"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24">
                      <a:extLst>
                        <a:ext uri="{28A0092B-C50C-407E-A947-70E740481C1C}">
                          <a14:useLocalDpi xmlns:a14="http://schemas.microsoft.com/office/drawing/2010/main" val="0"/>
                        </a:ext>
                      </a:extLst>
                    </a:blip>
                    <a:srcRect/>
                    <a:stretch>
                      <a:fillRect/>
                    </a:stretch>
                  </pic:blipFill>
                  <pic:spPr>
                    <a:xfrm>
                      <a:off x="0" y="0"/>
                      <a:ext cx="5486400" cy="4507418"/>
                    </a:xfrm>
                    <a:prstGeom prst="rect"/>
                    <a:noFill/>
                  </pic:spPr>
                </pic:pic>
              </a:graphicData>
            </a:graphic>
          </wp:inline>
        </w:drawing>
      </w:r>
    </w:p>
    <w:p>
      <w:pPr>
        <w:jc w:val="center"/>
        <w:rPr>
          <w:rFonts w:asciiTheme="minorHAnsi" w:hAnsiTheme="minorHAnsi" w:cs="Arial"/>
          <w:i/>
          <w:sz w:val="20"/>
          <w:szCs w:val="20"/>
        </w:rPr>
      </w:pPr>
      <w:r>
        <w:rPr>
          <w:rFonts w:asciiTheme="minorHAnsi" w:hAnsiTheme="minorHAnsi" w:cs="Arial"/>
          <w:b/>
          <w:sz w:val="20"/>
          <w:szCs w:val="20"/>
        </w:rPr>
        <w:t xml:space="preserve">Figure 3A: </w:t>
      </w:r>
      <w:r>
        <w:rPr>
          <w:rFonts w:asciiTheme="minorHAnsi" w:hAnsiTheme="minorHAnsi" w:cs="Arial"/>
          <w:i/>
          <w:sz w:val="20"/>
          <w:szCs w:val="20"/>
        </w:rPr>
        <w:t xml:space="preserve">Average LOG Reduction for </w:t>
      </w:r>
      <w:r>
        <w:rPr>
          <w:rFonts w:asciiTheme="minorHAnsi" w:hAnsiTheme="minorHAnsi" w:cs="Arial"/>
          <w:i/>
          <w:sz w:val="20"/>
          <w:szCs w:val="20"/>
        </w:rPr>
        <w:t>PhiX</w:t>
      </w:r>
      <w:r>
        <w:rPr>
          <w:rFonts w:asciiTheme="minorHAnsi" w:hAnsiTheme="minorHAnsi" w:cs="Arial"/>
          <w:i/>
          <w:sz w:val="20"/>
          <w:szCs w:val="20"/>
        </w:rPr>
        <w:t xml:space="preserve"> Trials with Control Trial Data</w:t>
      </w:r>
    </w:p>
    <w:p>
      <w:pPr>
        <w:jc w:val="center"/>
        <w:rPr>
          <w:rFonts w:asciiTheme="minorHAnsi" w:hAnsiTheme="minorHAnsi" w:cs="Arial"/>
          <w:i/>
          <w:sz w:val="20"/>
          <w:szCs w:val="20"/>
        </w:rPr>
      </w:pPr>
    </w:p>
    <w:p>
      <w:pPr>
        <w:jc w:val="center"/>
        <w:rPr>
          <w:rFonts w:asciiTheme="minorHAnsi" w:hAnsiTheme="minorHAnsi" w:cs="Arial"/>
          <w:i/>
          <w:sz w:val="20"/>
          <w:szCs w:val="20"/>
        </w:rPr>
      </w:pPr>
      <w:r>
        <w:rPr>
          <w:rFonts w:asciiTheme="minorHAnsi" w:hAnsiTheme="minorHAnsi" w:cs="Arial"/>
          <w:i/>
          <w:noProof/>
          <w:sz w:val="20"/>
          <w:szCs w:val="20"/>
        </w:rPr>
        <w:drawing>
          <wp:inline distT="0" distB="0" distL="0" distR="0">
            <wp:extent cx="5486400" cy="4298150"/>
            <wp:effectExtent l="0" t="0" r="0" b="0"/>
            <wp:docPr id="1052" name="shape1052"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25">
                      <a:extLst>
                        <a:ext uri="{28A0092B-C50C-407E-A947-70E740481C1C}">
                          <a14:useLocalDpi xmlns:a14="http://schemas.microsoft.com/office/drawing/2010/main" val="0"/>
                        </a:ext>
                      </a:extLst>
                    </a:blip>
                    <a:srcRect/>
                    <a:stretch>
                      <a:fillRect/>
                    </a:stretch>
                  </pic:blipFill>
                  <pic:spPr>
                    <a:xfrm>
                      <a:off x="0" y="0"/>
                      <a:ext cx="5486400" cy="4298150"/>
                    </a:xfrm>
                    <a:prstGeom prst="rect"/>
                    <a:noFill/>
                  </pic:spPr>
                </pic:pic>
              </a:graphicData>
            </a:graphic>
          </wp:inline>
        </w:drawing>
      </w:r>
    </w:p>
    <w:p>
      <w:pPr>
        <w:jc w:val="center"/>
        <w:rPr>
          <w:rFonts w:asciiTheme="minorHAnsi" w:hAnsiTheme="minorHAnsi" w:cs="Arial"/>
          <w:i/>
          <w:sz w:val="20"/>
          <w:szCs w:val="20"/>
        </w:rPr>
      </w:pPr>
      <w:r>
        <w:rPr>
          <w:rFonts w:asciiTheme="minorHAnsi" w:hAnsiTheme="minorHAnsi" w:cs="Arial"/>
          <w:b/>
          <w:sz w:val="20"/>
          <w:szCs w:val="20"/>
        </w:rPr>
        <w:t xml:space="preserve">Figure </w:t>
      </w:r>
      <w:r>
        <w:rPr>
          <w:rFonts w:asciiTheme="minorHAnsi" w:hAnsiTheme="minorHAnsi" w:cs="Arial"/>
          <w:b/>
          <w:sz w:val="20"/>
          <w:szCs w:val="20"/>
        </w:rPr>
        <w:t>4</w:t>
      </w:r>
      <w:r>
        <w:rPr>
          <w:rFonts w:asciiTheme="minorHAnsi" w:hAnsiTheme="minorHAnsi" w:cs="Arial"/>
          <w:b/>
          <w:sz w:val="20"/>
          <w:szCs w:val="20"/>
        </w:rPr>
        <w:t xml:space="preserve">A: </w:t>
      </w:r>
      <w:r>
        <w:rPr>
          <w:rFonts w:asciiTheme="minorHAnsi" w:hAnsiTheme="minorHAnsi" w:cs="Arial"/>
          <w:i/>
          <w:sz w:val="20"/>
          <w:szCs w:val="20"/>
        </w:rPr>
        <w:t xml:space="preserve">Average LOG Reduction for </w:t>
      </w:r>
      <w:r>
        <w:rPr>
          <w:rFonts w:asciiTheme="minorHAnsi" w:hAnsiTheme="minorHAnsi" w:cs="Arial"/>
          <w:i/>
          <w:sz w:val="20"/>
          <w:szCs w:val="20"/>
        </w:rPr>
        <w:t>MS2</w:t>
      </w:r>
      <w:r>
        <w:rPr>
          <w:rFonts w:asciiTheme="minorHAnsi" w:hAnsiTheme="minorHAnsi" w:cs="Arial"/>
          <w:i/>
          <w:sz w:val="20"/>
          <w:szCs w:val="20"/>
        </w:rPr>
        <w:t>Trials with Control Trial Data</w:t>
      </w:r>
    </w:p>
    <w:p>
      <w:pPr>
        <w:jc w:val="center"/>
        <w:rPr>
          <w:rFonts w:asciiTheme="minorHAnsi" w:hAnsiTheme="minorHAnsi" w:cs="Arial"/>
          <w:i/>
          <w:sz w:val="20"/>
          <w:szCs w:val="20"/>
        </w:rPr>
      </w:pPr>
    </w:p>
    <w:p>
      <w:pPr>
        <w:jc w:val="center"/>
        <w:rPr>
          <w:rFonts w:asciiTheme="minorHAnsi" w:hAnsiTheme="minorHAnsi" w:cs="Arial"/>
          <w:i/>
          <w:sz w:val="20"/>
          <w:szCs w:val="20"/>
        </w:rPr>
      </w:pPr>
      <w:r>
        <w:rPr>
          <w:rFonts w:asciiTheme="minorHAnsi" w:hAnsiTheme="minorHAnsi" w:cs="Arial"/>
          <w:i/>
          <w:noProof/>
          <w:sz w:val="20"/>
          <w:szCs w:val="20"/>
        </w:rPr>
        <w:drawing>
          <wp:inline distT="0" distB="0" distL="0" distR="0">
            <wp:extent cx="5486400" cy="4364204"/>
            <wp:effectExtent l="0" t="0" r="0" b="0"/>
            <wp:docPr id="1053" name="shape1053"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26">
                      <a:extLst>
                        <a:ext uri="{28A0092B-C50C-407E-A947-70E740481C1C}">
                          <a14:useLocalDpi xmlns:a14="http://schemas.microsoft.com/office/drawing/2010/main" val="0"/>
                        </a:ext>
                      </a:extLst>
                    </a:blip>
                    <a:srcRect/>
                    <a:stretch>
                      <a:fillRect/>
                    </a:stretch>
                  </pic:blipFill>
                  <pic:spPr>
                    <a:xfrm>
                      <a:off x="0" y="0"/>
                      <a:ext cx="5486400" cy="4364204"/>
                    </a:xfrm>
                    <a:prstGeom prst="rect"/>
                    <a:noFill/>
                  </pic:spPr>
                </pic:pic>
              </a:graphicData>
            </a:graphic>
          </wp:inline>
        </w:drawing>
      </w:r>
    </w:p>
    <w:p>
      <w:pPr>
        <w:jc w:val="center"/>
        <w:rPr>
          <w:rFonts w:asciiTheme="minorHAnsi" w:hAnsiTheme="minorHAnsi" w:cs="Arial"/>
          <w:i/>
          <w:sz w:val="20"/>
          <w:szCs w:val="20"/>
        </w:rPr>
      </w:pPr>
      <w:r>
        <w:rPr>
          <w:rFonts w:asciiTheme="minorHAnsi" w:hAnsiTheme="minorHAnsi" w:cs="Arial"/>
          <w:b/>
          <w:sz w:val="20"/>
          <w:szCs w:val="20"/>
        </w:rPr>
        <w:t xml:space="preserve">Figure </w:t>
      </w:r>
      <w:r>
        <w:rPr>
          <w:rFonts w:asciiTheme="minorHAnsi" w:hAnsiTheme="minorHAnsi" w:cs="Arial"/>
          <w:b/>
          <w:sz w:val="20"/>
          <w:szCs w:val="20"/>
        </w:rPr>
        <w:t>5</w:t>
      </w:r>
      <w:r>
        <w:rPr>
          <w:rFonts w:asciiTheme="minorHAnsi" w:hAnsiTheme="minorHAnsi" w:cs="Arial"/>
          <w:b/>
          <w:sz w:val="20"/>
          <w:szCs w:val="20"/>
        </w:rPr>
        <w:t xml:space="preserve">A: </w:t>
      </w:r>
      <w:r>
        <w:rPr>
          <w:rFonts w:asciiTheme="minorHAnsi" w:hAnsiTheme="minorHAnsi" w:cs="Arial"/>
          <w:i/>
          <w:sz w:val="20"/>
          <w:szCs w:val="20"/>
        </w:rPr>
        <w:t xml:space="preserve">Average LOG Reduction for </w:t>
      </w:r>
      <w:r>
        <w:rPr>
          <w:rFonts w:asciiTheme="minorHAnsi" w:hAnsiTheme="minorHAnsi" w:cs="Arial"/>
          <w:i/>
          <w:sz w:val="20"/>
          <w:szCs w:val="20"/>
        </w:rPr>
        <w:t xml:space="preserve">P. Agglomerans </w:t>
      </w:r>
      <w:r>
        <w:rPr>
          <w:rFonts w:asciiTheme="minorHAnsi" w:hAnsiTheme="minorHAnsi" w:cs="Arial"/>
          <w:i/>
          <w:sz w:val="20"/>
          <w:szCs w:val="20"/>
        </w:rPr>
        <w:t>Trials with Control Trial Data</w:t>
      </w:r>
    </w:p>
    <w:p>
      <w:pPr>
        <w:jc w:val="center"/>
        <w:rPr>
          <w:rFonts w:asciiTheme="minorHAnsi" w:hAnsiTheme="minorHAnsi" w:cs="Arial"/>
          <w:i/>
          <w:sz w:val="20"/>
          <w:szCs w:val="20"/>
        </w:rPr>
      </w:pPr>
    </w:p>
    <w:p>
      <w:pPr>
        <w:jc w:val="center"/>
        <w:rPr>
          <w:rFonts w:asciiTheme="minorHAnsi" w:hAnsiTheme="minorHAnsi" w:cs="Arial"/>
          <w:i/>
          <w:sz w:val="20"/>
          <w:szCs w:val="20"/>
        </w:rPr>
      </w:pPr>
      <w:r>
        <w:rPr>
          <w:rFonts w:asciiTheme="minorHAnsi" w:hAnsiTheme="minorHAnsi" w:cs="Arial"/>
          <w:i/>
          <w:noProof/>
          <w:sz w:val="20"/>
          <w:szCs w:val="20"/>
        </w:rPr>
        <w:drawing>
          <wp:inline distT="0" distB="0" distL="0" distR="0">
            <wp:extent cx="5486400" cy="4463095"/>
            <wp:effectExtent l="0" t="0" r="0" b="0"/>
            <wp:docPr id="1054" name="shape1054"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27">
                      <a:extLst>
                        <a:ext uri="{28A0092B-C50C-407E-A947-70E740481C1C}">
                          <a14:useLocalDpi xmlns:a14="http://schemas.microsoft.com/office/drawing/2010/main" val="0"/>
                        </a:ext>
                      </a:extLst>
                    </a:blip>
                    <a:srcRect/>
                    <a:stretch>
                      <a:fillRect/>
                    </a:stretch>
                  </pic:blipFill>
                  <pic:spPr>
                    <a:xfrm>
                      <a:off x="0" y="0"/>
                      <a:ext cx="5486400" cy="4463095"/>
                    </a:xfrm>
                    <a:prstGeom prst="rect"/>
                    <a:noFill/>
                  </pic:spPr>
                </pic:pic>
              </a:graphicData>
            </a:graphic>
          </wp:inline>
        </w:drawing>
      </w:r>
    </w:p>
    <w:p>
      <w:pPr>
        <w:jc w:val="center"/>
        <w:rPr>
          <w:rFonts w:asciiTheme="minorHAnsi" w:hAnsiTheme="minorHAnsi" w:cs="Arial"/>
          <w:i/>
          <w:sz w:val="20"/>
          <w:szCs w:val="20"/>
        </w:rPr>
      </w:pPr>
      <w:r>
        <w:rPr>
          <w:rFonts w:asciiTheme="minorHAnsi" w:hAnsiTheme="minorHAnsi" w:cs="Arial"/>
          <w:b/>
          <w:sz w:val="20"/>
          <w:szCs w:val="20"/>
        </w:rPr>
        <w:t xml:space="preserve">Figure </w:t>
      </w:r>
      <w:r>
        <w:rPr>
          <w:rFonts w:asciiTheme="minorHAnsi" w:hAnsiTheme="minorHAnsi" w:cs="Arial"/>
          <w:b/>
          <w:sz w:val="20"/>
          <w:szCs w:val="20"/>
        </w:rPr>
        <w:t>6</w:t>
      </w:r>
      <w:r>
        <w:rPr>
          <w:rFonts w:asciiTheme="minorHAnsi" w:hAnsiTheme="minorHAnsi" w:cs="Arial"/>
          <w:b/>
          <w:sz w:val="20"/>
          <w:szCs w:val="20"/>
        </w:rPr>
        <w:t xml:space="preserve">A: </w:t>
      </w:r>
      <w:r>
        <w:rPr>
          <w:rFonts w:asciiTheme="minorHAnsi" w:hAnsiTheme="minorHAnsi" w:cs="Arial"/>
          <w:i/>
          <w:sz w:val="20"/>
          <w:szCs w:val="20"/>
        </w:rPr>
        <w:t xml:space="preserve">Average LOG Reduction for </w:t>
      </w:r>
      <w:r>
        <w:rPr>
          <w:rFonts w:asciiTheme="minorHAnsi" w:hAnsiTheme="minorHAnsi" w:cs="Arial"/>
          <w:i/>
          <w:sz w:val="20"/>
          <w:szCs w:val="20"/>
        </w:rPr>
        <w:t xml:space="preserve">P. Agglomerans </w:t>
      </w:r>
      <w:r>
        <w:rPr>
          <w:rFonts w:asciiTheme="minorHAnsi" w:hAnsiTheme="minorHAnsi" w:cs="Arial"/>
          <w:i/>
          <w:sz w:val="20"/>
          <w:szCs w:val="20"/>
        </w:rPr>
        <w:t>Trials with Control Trial Data</w:t>
      </w:r>
    </w:p>
    <w:p>
      <w:pPr>
        <w:jc w:val="center"/>
        <w:rPr>
          <w:rFonts w:asciiTheme="minorHAnsi" w:hAnsiTheme="minorHAnsi" w:cs="Arial"/>
          <w:i/>
          <w:sz w:val="20"/>
          <w:szCs w:val="20"/>
        </w:rPr>
      </w:pPr>
    </w:p>
    <w:p>
      <w:pPr>
        <w:jc w:val="center"/>
        <w:rPr>
          <w:rFonts w:asciiTheme="minorHAnsi" w:hAnsiTheme="minorHAnsi" w:cs="Arial"/>
          <w:i/>
          <w:sz w:val="20"/>
          <w:szCs w:val="20"/>
        </w:rPr>
      </w:pPr>
      <w:r>
        <w:rPr>
          <w:rFonts w:asciiTheme="minorHAnsi" w:hAnsiTheme="minorHAnsi" w:cs="Arial"/>
          <w:i/>
          <w:noProof/>
          <w:sz w:val="20"/>
          <w:szCs w:val="20"/>
        </w:rPr>
        <w:drawing>
          <wp:inline distT="0" distB="0" distL="0" distR="0">
            <wp:extent cx="5486400" cy="4670058"/>
            <wp:effectExtent l="0" t="0" r="0" b="0"/>
            <wp:docPr id="1055" name="shape1055"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28">
                      <a:extLst>
                        <a:ext uri="{28A0092B-C50C-407E-A947-70E740481C1C}">
                          <a14:useLocalDpi xmlns:a14="http://schemas.microsoft.com/office/drawing/2010/main" val="0"/>
                        </a:ext>
                      </a:extLst>
                    </a:blip>
                    <a:srcRect/>
                    <a:stretch>
                      <a:fillRect/>
                    </a:stretch>
                  </pic:blipFill>
                  <pic:spPr>
                    <a:xfrm>
                      <a:off x="0" y="0"/>
                      <a:ext cx="5486400" cy="4670058"/>
                    </a:xfrm>
                    <a:prstGeom prst="rect"/>
                    <a:noFill/>
                  </pic:spPr>
                </pic:pic>
              </a:graphicData>
            </a:graphic>
          </wp:inline>
        </w:drawing>
      </w:r>
    </w:p>
    <w:p>
      <w:pPr>
        <w:jc w:val="center"/>
        <w:rPr>
          <w:rFonts w:asciiTheme="minorHAnsi" w:hAnsiTheme="minorHAnsi" w:cs="Arial"/>
          <w:i/>
          <w:sz w:val="20"/>
          <w:szCs w:val="20"/>
        </w:rPr>
      </w:pPr>
      <w:r>
        <w:rPr>
          <w:rFonts w:asciiTheme="minorHAnsi" w:hAnsiTheme="minorHAnsi" w:cs="Arial"/>
          <w:b/>
          <w:sz w:val="20"/>
          <w:szCs w:val="20"/>
        </w:rPr>
        <w:t xml:space="preserve">Figure </w:t>
      </w:r>
      <w:r>
        <w:rPr>
          <w:rFonts w:asciiTheme="minorHAnsi" w:hAnsiTheme="minorHAnsi" w:cs="Arial"/>
          <w:b/>
          <w:sz w:val="20"/>
          <w:szCs w:val="20"/>
        </w:rPr>
        <w:t>7</w:t>
      </w:r>
      <w:r>
        <w:rPr>
          <w:rFonts w:asciiTheme="minorHAnsi" w:hAnsiTheme="minorHAnsi" w:cs="Arial"/>
          <w:b/>
          <w:sz w:val="20"/>
          <w:szCs w:val="20"/>
        </w:rPr>
        <w:t xml:space="preserve">A: </w:t>
      </w:r>
      <w:r>
        <w:rPr>
          <w:rFonts w:asciiTheme="minorHAnsi" w:hAnsiTheme="minorHAnsi" w:cs="Arial"/>
          <w:i/>
          <w:sz w:val="20"/>
          <w:szCs w:val="20"/>
        </w:rPr>
        <w:t xml:space="preserve">Average LOG Reduction for </w:t>
      </w:r>
      <w:r>
        <w:rPr>
          <w:rFonts w:asciiTheme="minorHAnsi" w:hAnsiTheme="minorHAnsi" w:cs="Arial"/>
          <w:i/>
          <w:sz w:val="20"/>
          <w:szCs w:val="20"/>
        </w:rPr>
        <w:t xml:space="preserve">E. Coli </w:t>
      </w:r>
      <w:r>
        <w:rPr>
          <w:rFonts w:asciiTheme="minorHAnsi" w:hAnsiTheme="minorHAnsi" w:cs="Arial"/>
          <w:i/>
          <w:sz w:val="20"/>
          <w:szCs w:val="20"/>
        </w:rPr>
        <w:t>Trials with Control Trial Data</w:t>
      </w:r>
    </w:p>
    <w:p>
      <w:pPr>
        <w:jc w:val="center"/>
        <w:rPr>
          <w:rFonts w:asciiTheme="minorHAnsi" w:hAnsiTheme="minorHAnsi" w:cs="Arial"/>
          <w:i/>
          <w:sz w:val="20"/>
          <w:szCs w:val="20"/>
        </w:rPr>
      </w:pPr>
    </w:p>
    <w:p>
      <w:pPr>
        <w:jc w:val="center"/>
        <w:rPr>
          <w:rFonts w:asciiTheme="minorHAnsi" w:hAnsiTheme="minorHAnsi" w:cs="Arial"/>
          <w:i/>
          <w:sz w:val="20"/>
          <w:szCs w:val="20"/>
        </w:rPr>
      </w:pPr>
    </w:p>
    <w:p>
      <w:pPr>
        <w:jc w:val="center"/>
        <w:rPr>
          <w:rFonts w:asciiTheme="minorHAnsi" w:hAnsiTheme="minorHAnsi" w:cs="Arial"/>
          <w:i/>
          <w:sz w:val="20"/>
          <w:szCs w:val="20"/>
        </w:rPr>
      </w:pPr>
    </w:p>
    <w:p>
      <w:pPr>
        <w:jc w:val="center"/>
        <w:rPr>
          <w:rFonts w:asciiTheme="minorHAnsi" w:hAnsiTheme="minorHAnsi" w:cs="Arial"/>
          <w:i/>
          <w:sz w:val="20"/>
          <w:szCs w:val="20"/>
        </w:rPr>
      </w:pPr>
    </w:p>
    <w:p>
      <w:pPr>
        <w:ind w:left="720"/>
        <w:jc w:val="both"/>
      </w:pPr>
    </w:p>
    <w:p>
      <w:pPr>
        <w:ind w:left="720"/>
        <w:jc w:val="both"/>
      </w:pPr>
    </w:p>
    <w:p>
      <w:pPr>
        <w:ind w:left="720"/>
        <w:jc w:val="both"/>
      </w:pPr>
    </w:p>
    <w:p>
      <w:pPr>
        <w:ind w:left="720"/>
        <w:jc w:val="both"/>
      </w:pPr>
    </w:p>
    <w:p>
      <w:pPr>
        <w:ind w:left="720"/>
        <w:jc w:val="both"/>
      </w:pPr>
    </w:p>
    <w:p>
      <w:pPr>
        <w:ind w:left="720"/>
        <w:jc w:val="both"/>
      </w:pPr>
    </w:p>
    <w:p>
      <w:pPr>
        <w:ind w:left="720"/>
        <w:jc w:val="both"/>
      </w:pPr>
    </w:p>
    <w:p>
      <w:pPr>
        <w:ind w:left="720"/>
        <w:jc w:val="both"/>
      </w:pPr>
    </w:p>
    <w:p>
      <w:pPr>
        <w:ind w:left="720"/>
        <w:jc w:val="both"/>
      </w:pPr>
    </w:p>
    <w:p>
      <w:pPr>
        <w:ind w:left="720"/>
        <w:jc w:val="both"/>
      </w:pPr>
    </w:p>
    <w:p>
      <w:pPr>
        <w:ind w:left="720"/>
        <w:jc w:val="both"/>
      </w:pPr>
    </w:p>
    <w:p>
      <w:pPr>
        <w:ind w:left="720"/>
        <w:jc w:val="both"/>
      </w:pPr>
    </w:p>
    <w:p>
      <w:pPr>
        <w:ind w:left="720"/>
        <w:jc w:val="both"/>
      </w:pPr>
    </w:p>
    <w:p>
      <w:pPr>
        <w:ind w:left="720"/>
        <w:jc w:val="both"/>
      </w:pPr>
    </w:p>
    <w:p>
      <w:pPr>
        <w:ind w:left="720"/>
        <w:jc w:val="both"/>
      </w:pPr>
    </w:p>
    <w:p>
      <w:pPr>
        <w:ind w:left="720"/>
        <w:jc w:val="both"/>
      </w:pPr>
    </w:p>
    <w:p>
      <w:pPr>
        <w:jc w:val="center"/>
        <w:rPr>
          <w:rFonts w:ascii="Arial" w:hAnsi="Arial" w:cs="Arial"/>
          <w:b/>
          <w:sz w:val="48"/>
          <w:szCs w:val="40"/>
        </w:rPr>
      </w:pPr>
      <w:r>
        <w:rPr>
          <w:rFonts w:ascii="Arial" w:hAnsi="Arial" w:cs="Arial"/>
          <w:b/>
          <w:sz w:val="48"/>
          <w:szCs w:val="40"/>
        </w:rPr>
        <w:t>APPENDIX B: Individual Trials Raw Data</w:t>
      </w:r>
    </w:p>
    <w:p>
      <w:pPr>
        <w:rPr>
          <w:rFonts w:ascii="Arial" w:hAnsi="Arial" w:cs="Arial"/>
          <w:b/>
          <w:sz w:val="32"/>
          <w:szCs w:val="40"/>
        </w:rPr>
      </w:pPr>
    </w:p>
    <w:p>
      <w:pPr>
        <w:jc w:val="center"/>
        <w:rPr>
          <w:rFonts w:ascii="Arial" w:hAnsi="Arial" w:cs="Arial"/>
          <w:b/>
          <w:sz w:val="32"/>
          <w:szCs w:val="40"/>
        </w:rPr>
      </w:pPr>
      <w:r>
        <w:drawing>
          <wp:inline distT="0" distB="0" distL="0" distR="0">
            <wp:extent cx="6400800" cy="6239844"/>
            <wp:effectExtent l="0" t="0" r="0" b="0"/>
            <wp:docPr id="1056" name="shape1056"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29">
                      <a:extLst>
                        <a:ext uri="{28A0092B-C50C-407E-A947-70E740481C1C}">
                          <a14:useLocalDpi xmlns:a14="http://schemas.microsoft.com/office/drawing/2010/main" val="0"/>
                        </a:ext>
                      </a:extLst>
                    </a:blip>
                    <a:srcRect/>
                    <a:stretch>
                      <a:fillRect/>
                    </a:stretch>
                  </pic:blipFill>
                  <pic:spPr>
                    <a:xfrm>
                      <a:off x="0" y="0"/>
                      <a:ext cx="6400800" cy="6239844"/>
                    </a:xfrm>
                    <a:prstGeom prst="rect"/>
                    <a:noFill/>
                    <a:ln>
                      <a:noFill/>
                    </a:ln>
                  </pic:spPr>
                </pic:pic>
              </a:graphicData>
            </a:graphic>
          </wp:inline>
        </w:drawing>
      </w:r>
    </w:p>
    <w:p>
      <w:pPr>
        <w:jc w:val="center"/>
        <w:tabs>
          <w:tab w:val="left" w:pos="3540"/>
        </w:tabs>
        <w:rPr>
          <w:rFonts w:ascii="Garamond" w:hAnsi="Garamond" w:cs="Arial"/>
          <w:i/>
          <w:sz w:val="22"/>
          <w:szCs w:val="40"/>
        </w:rPr>
      </w:pPr>
      <w:r>
        <w:rPr>
          <w:rFonts w:ascii="Garamond" w:hAnsi="Garamond" w:cs="Arial"/>
          <w:b/>
          <w:color w:val="0070C0"/>
          <w:sz w:val="22"/>
          <w:szCs w:val="40"/>
        </w:rPr>
        <w:t>Figure 1</w:t>
      </w:r>
      <w:r>
        <w:rPr>
          <w:rFonts w:ascii="Garamond" w:hAnsi="Garamond" w:cs="Arial"/>
          <w:b/>
          <w:color w:val="0070C0"/>
          <w:sz w:val="22"/>
          <w:szCs w:val="40"/>
        </w:rPr>
        <w:t>B</w:t>
      </w:r>
      <w:r>
        <w:rPr>
          <w:rFonts w:ascii="Garamond" w:hAnsi="Garamond" w:cs="Arial"/>
          <w:b/>
          <w:sz w:val="22"/>
          <w:szCs w:val="40"/>
        </w:rPr>
        <w:t xml:space="preserve">: </w:t>
      </w:r>
      <w:r>
        <w:rPr>
          <w:rFonts w:ascii="Garamond" w:hAnsi="Garamond" w:cs="Arial"/>
          <w:i/>
          <w:sz w:val="22"/>
          <w:szCs w:val="40"/>
        </w:rPr>
        <w:t xml:space="preserve">Raw Plate Counts for </w:t>
      </w:r>
      <w:r>
        <w:rPr>
          <w:rFonts w:ascii="Garamond" w:hAnsi="Garamond" w:cs="Arial"/>
          <w:i/>
          <w:sz w:val="22"/>
          <w:szCs w:val="40"/>
        </w:rPr>
        <w:t>S. epidermidis</w:t>
      </w:r>
      <w:r>
        <w:rPr>
          <w:rFonts w:ascii="Garamond" w:hAnsi="Garamond" w:cs="Arial"/>
          <w:i/>
          <w:sz w:val="22"/>
          <w:szCs w:val="40"/>
        </w:rPr>
        <w:t xml:space="preserve"> Control Trial</w:t>
      </w:r>
    </w:p>
    <w:p>
      <w:pPr>
        <w:jc w:val="center"/>
        <w:tabs>
          <w:tab w:val="left" w:pos="3540"/>
        </w:tabs>
        <w:rPr>
          <w:rFonts w:ascii="Garamond" w:hAnsi="Garamond" w:cs="Arial"/>
          <w:b/>
          <w:sz w:val="32"/>
          <w:szCs w:val="40"/>
        </w:rPr>
      </w:pPr>
    </w:p>
    <w:p>
      <w:pPr>
        <w:rPr>
          <w:rFonts w:ascii="Arial" w:hAnsi="Arial" w:cs="Arial"/>
          <w:b/>
          <w:sz w:val="32"/>
          <w:szCs w:val="40"/>
        </w:rPr>
      </w:pPr>
    </w:p>
    <w:p>
      <w:pPr>
        <w:jc w:val="center"/>
        <w:rPr>
          <w:rFonts w:ascii="Arial" w:hAnsi="Arial" w:cs="Arial"/>
          <w:b/>
          <w:sz w:val="32"/>
          <w:szCs w:val="40"/>
        </w:rPr>
      </w:pPr>
      <w:r>
        <w:drawing>
          <wp:inline distT="0" distB="0" distL="0" distR="0">
            <wp:extent cx="6400800" cy="6239844"/>
            <wp:effectExtent l="0" t="0" r="0" b="0"/>
            <wp:docPr id="1057" name="shape1057"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30">
                      <a:extLst>
                        <a:ext uri="{28A0092B-C50C-407E-A947-70E740481C1C}">
                          <a14:useLocalDpi xmlns:a14="http://schemas.microsoft.com/office/drawing/2010/main" val="0"/>
                        </a:ext>
                      </a:extLst>
                    </a:blip>
                    <a:srcRect/>
                    <a:stretch>
                      <a:fillRect/>
                    </a:stretch>
                  </pic:blipFill>
                  <pic:spPr>
                    <a:xfrm>
                      <a:off x="0" y="0"/>
                      <a:ext cx="6400800" cy="6239844"/>
                    </a:xfrm>
                    <a:prstGeom prst="rect"/>
                    <a:noFill/>
                    <a:ln>
                      <a:noFill/>
                    </a:ln>
                  </pic:spPr>
                </pic:pic>
              </a:graphicData>
            </a:graphic>
          </wp:inline>
        </w:drawing>
      </w:r>
    </w:p>
    <w:p>
      <w:pPr>
        <w:jc w:val="center"/>
        <w:rPr>
          <w:rFonts w:ascii="Garamond" w:hAnsi="Garamond" w:cs="Arial"/>
          <w:i/>
          <w:sz w:val="22"/>
          <w:szCs w:val="40"/>
        </w:rPr>
      </w:pPr>
      <w:r>
        <w:rPr>
          <w:rFonts w:ascii="Garamond" w:hAnsi="Garamond" w:cs="Arial"/>
          <w:b/>
          <w:color w:val="0070C0"/>
          <w:sz w:val="22"/>
          <w:szCs w:val="40"/>
        </w:rPr>
        <w:t>Figure 2</w:t>
      </w:r>
      <w:r>
        <w:rPr>
          <w:rFonts w:ascii="Garamond" w:hAnsi="Garamond" w:cs="Arial"/>
          <w:b/>
          <w:color w:val="0070C0"/>
          <w:sz w:val="22"/>
          <w:szCs w:val="40"/>
        </w:rPr>
        <w:t>B</w:t>
      </w:r>
      <w:r>
        <w:rPr>
          <w:rFonts w:ascii="Garamond" w:hAnsi="Garamond" w:cs="Arial"/>
          <w:b/>
          <w:sz w:val="22"/>
          <w:szCs w:val="40"/>
        </w:rPr>
        <w:t xml:space="preserve">: </w:t>
      </w:r>
      <w:r>
        <w:rPr>
          <w:rFonts w:ascii="Garamond" w:hAnsi="Garamond" w:cs="Arial"/>
          <w:i/>
          <w:sz w:val="22"/>
          <w:szCs w:val="40"/>
        </w:rPr>
        <w:t xml:space="preserve">Raw Plate Counts for </w:t>
      </w:r>
      <w:r>
        <w:rPr>
          <w:rFonts w:ascii="Garamond" w:hAnsi="Garamond" w:cs="Arial"/>
          <w:i/>
          <w:sz w:val="22"/>
          <w:szCs w:val="40"/>
        </w:rPr>
        <w:t>S. epidermidis</w:t>
      </w:r>
      <w:r>
        <w:rPr>
          <w:rFonts w:ascii="Garamond" w:hAnsi="Garamond" w:cs="Arial"/>
          <w:sz w:val="22"/>
          <w:szCs w:val="40"/>
        </w:rPr>
        <w:t xml:space="preserve"> </w:t>
      </w:r>
      <w:r>
        <w:rPr>
          <w:rFonts w:ascii="Garamond" w:hAnsi="Garamond" w:cs="Arial"/>
          <w:i/>
          <w:sz w:val="22"/>
          <w:szCs w:val="40"/>
        </w:rPr>
        <w:t>Trial 1</w:t>
      </w:r>
    </w:p>
    <w:p>
      <w:pPr>
        <w:jc w:val="center"/>
        <w:rPr>
          <w:rFonts w:ascii="Garamond" w:hAnsi="Garamond" w:cs="Arial"/>
          <w:b/>
          <w:sz w:val="22"/>
          <w:szCs w:val="40"/>
        </w:rPr>
      </w:pPr>
    </w:p>
    <w:p>
      <w:pPr>
        <w:rPr>
          <w:rFonts w:ascii="Arial" w:hAnsi="Arial" w:cs="Arial"/>
          <w:b/>
          <w:sz w:val="32"/>
          <w:szCs w:val="40"/>
        </w:rPr>
      </w:pPr>
    </w:p>
    <w:p>
      <w:pPr>
        <w:jc w:val="center"/>
        <w:rPr>
          <w:rFonts w:ascii="Arial" w:hAnsi="Arial" w:cs="Arial"/>
          <w:b/>
          <w:sz w:val="32"/>
          <w:szCs w:val="40"/>
        </w:rPr>
      </w:pPr>
      <w:r>
        <w:drawing>
          <wp:inline distT="0" distB="0" distL="0" distR="0">
            <wp:extent cx="6400800" cy="6344652"/>
            <wp:effectExtent l="0" t="0" r="0" b="0"/>
            <wp:docPr id="1058" name="shape1058"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31">
                      <a:extLst>
                        <a:ext uri="{28A0092B-C50C-407E-A947-70E740481C1C}">
                          <a14:useLocalDpi xmlns:a14="http://schemas.microsoft.com/office/drawing/2010/main" val="0"/>
                        </a:ext>
                      </a:extLst>
                    </a:blip>
                    <a:srcRect/>
                    <a:stretch>
                      <a:fillRect/>
                    </a:stretch>
                  </pic:blipFill>
                  <pic:spPr>
                    <a:xfrm>
                      <a:off x="0" y="0"/>
                      <a:ext cx="6400800" cy="6344652"/>
                    </a:xfrm>
                    <a:prstGeom prst="rect"/>
                    <a:noFill/>
                    <a:ln>
                      <a:noFill/>
                    </a:ln>
                  </pic:spPr>
                </pic:pic>
              </a:graphicData>
            </a:graphic>
          </wp:inline>
        </w:drawing>
      </w:r>
    </w:p>
    <w:p>
      <w:pPr>
        <w:jc w:val="center"/>
        <w:rPr>
          <w:rFonts w:ascii="Garamond" w:hAnsi="Garamond" w:cs="Arial"/>
          <w:sz w:val="22"/>
          <w:szCs w:val="40"/>
        </w:rPr>
      </w:pPr>
      <w:r>
        <w:rPr>
          <w:rFonts w:ascii="Garamond" w:hAnsi="Garamond" w:cs="Arial"/>
          <w:b/>
          <w:color w:val="0070C0"/>
          <w:sz w:val="22"/>
          <w:szCs w:val="40"/>
        </w:rPr>
        <w:t>Figure 3</w:t>
      </w:r>
      <w:r>
        <w:rPr>
          <w:rFonts w:ascii="Garamond" w:hAnsi="Garamond" w:cs="Arial"/>
          <w:b/>
          <w:color w:val="0070C0"/>
          <w:sz w:val="22"/>
          <w:szCs w:val="40"/>
        </w:rPr>
        <w:t>B</w:t>
      </w:r>
      <w:r>
        <w:rPr>
          <w:rFonts w:ascii="Garamond" w:hAnsi="Garamond" w:cs="Arial"/>
          <w:b/>
          <w:sz w:val="22"/>
          <w:szCs w:val="40"/>
        </w:rPr>
        <w:t xml:space="preserve">: </w:t>
      </w:r>
      <w:r>
        <w:rPr>
          <w:rFonts w:ascii="Garamond" w:hAnsi="Garamond" w:cs="Arial"/>
          <w:i/>
          <w:sz w:val="22"/>
          <w:szCs w:val="40"/>
        </w:rPr>
        <w:t xml:space="preserve">Raw Plate Counts for </w:t>
      </w:r>
      <w:r>
        <w:rPr>
          <w:rFonts w:ascii="Garamond" w:hAnsi="Garamond" w:cs="Arial"/>
          <w:i/>
          <w:sz w:val="22"/>
          <w:szCs w:val="40"/>
        </w:rPr>
        <w:t>S. epidermidis</w:t>
      </w:r>
      <w:r>
        <w:rPr>
          <w:rFonts w:ascii="Garamond" w:hAnsi="Garamond" w:cs="Arial"/>
          <w:sz w:val="22"/>
          <w:szCs w:val="40"/>
        </w:rPr>
        <w:t xml:space="preserve"> </w:t>
      </w:r>
      <w:r>
        <w:rPr>
          <w:rFonts w:ascii="Garamond" w:hAnsi="Garamond" w:cs="Arial"/>
          <w:i/>
          <w:sz w:val="22"/>
          <w:szCs w:val="40"/>
        </w:rPr>
        <w:t>Trial 2</w:t>
      </w:r>
    </w:p>
    <w:p>
      <w:pPr>
        <w:jc w:val="center"/>
        <w:rPr>
          <w:rFonts w:ascii="Arial" w:hAnsi="Arial" w:cs="Arial"/>
          <w:b/>
          <w:sz w:val="32"/>
          <w:szCs w:val="40"/>
        </w:rPr>
      </w:pPr>
      <w:r>
        <w:drawing>
          <wp:inline distT="0" distB="0" distL="0" distR="0">
            <wp:extent cx="6400800" cy="8279865"/>
            <wp:effectExtent l="0" t="0" r="0" b="0"/>
            <wp:docPr id="1059" name="shape1059"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32">
                      <a:extLst>
                        <a:ext uri="{28A0092B-C50C-407E-A947-70E740481C1C}">
                          <a14:useLocalDpi xmlns:a14="http://schemas.microsoft.com/office/drawing/2010/main" val="0"/>
                        </a:ext>
                      </a:extLst>
                    </a:blip>
                    <a:srcRect/>
                    <a:stretch>
                      <a:fillRect/>
                    </a:stretch>
                  </pic:blipFill>
                  <pic:spPr>
                    <a:xfrm>
                      <a:off x="0" y="0"/>
                      <a:ext cx="6400800" cy="8279865"/>
                    </a:xfrm>
                    <a:prstGeom prst="rect"/>
                    <a:noFill/>
                    <a:ln>
                      <a:noFill/>
                    </a:ln>
                  </pic:spPr>
                </pic:pic>
              </a:graphicData>
            </a:graphic>
          </wp:inline>
        </w:drawing>
      </w:r>
    </w:p>
    <w:p>
      <w:pPr>
        <w:jc w:val="center"/>
        <w:rPr>
          <w:rFonts w:ascii="Garamond" w:hAnsi="Garamond" w:cs="Arial"/>
          <w:i/>
          <w:sz w:val="22"/>
          <w:szCs w:val="40"/>
        </w:rPr>
      </w:pPr>
      <w:r>
        <w:rPr>
          <w:rFonts w:ascii="Garamond" w:hAnsi="Garamond" w:cs="Arial"/>
          <w:b/>
          <w:color w:val="0070C0"/>
          <w:sz w:val="22"/>
          <w:szCs w:val="40"/>
        </w:rPr>
        <w:t>Figure 4</w:t>
      </w:r>
      <w:r>
        <w:rPr>
          <w:rFonts w:ascii="Garamond" w:hAnsi="Garamond" w:cs="Arial"/>
          <w:b/>
          <w:color w:val="0070C0"/>
          <w:sz w:val="22"/>
          <w:szCs w:val="40"/>
        </w:rPr>
        <w:t>B</w:t>
      </w:r>
      <w:r>
        <w:rPr>
          <w:rFonts w:ascii="Garamond" w:hAnsi="Garamond" w:cs="Arial"/>
          <w:b/>
          <w:sz w:val="22"/>
          <w:szCs w:val="40"/>
        </w:rPr>
        <w:t xml:space="preserve">: </w:t>
      </w:r>
      <w:r>
        <w:rPr>
          <w:rFonts w:ascii="Garamond" w:hAnsi="Garamond" w:cs="Arial"/>
          <w:i/>
          <w:sz w:val="22"/>
          <w:szCs w:val="40"/>
        </w:rPr>
        <w:t xml:space="preserve">Raw Plate Counts for </w:t>
      </w:r>
      <w:r>
        <w:rPr>
          <w:rFonts w:ascii="Garamond" w:hAnsi="Garamond" w:cs="Arial"/>
          <w:i/>
          <w:sz w:val="22"/>
          <w:szCs w:val="40"/>
        </w:rPr>
        <w:t>S. epidermidis</w:t>
      </w:r>
      <w:r>
        <w:rPr>
          <w:rFonts w:ascii="Garamond" w:hAnsi="Garamond" w:cs="Arial"/>
          <w:sz w:val="22"/>
          <w:szCs w:val="40"/>
        </w:rPr>
        <w:t xml:space="preserve"> </w:t>
      </w:r>
      <w:r>
        <w:rPr>
          <w:rFonts w:ascii="Garamond" w:hAnsi="Garamond" w:cs="Arial"/>
          <w:i/>
          <w:sz w:val="22"/>
          <w:szCs w:val="40"/>
        </w:rPr>
        <w:t>Trial 3</w:t>
      </w:r>
    </w:p>
    <w:p>
      <w:pPr>
        <w:jc w:val="center"/>
        <w:rPr>
          <w:rFonts w:ascii="Arial" w:hAnsi="Arial" w:cs="Arial"/>
          <w:b/>
          <w:sz w:val="32"/>
          <w:szCs w:val="40"/>
        </w:rPr>
      </w:pPr>
      <w:r>
        <w:drawing>
          <wp:inline distT="0" distB="0" distL="0" distR="0">
            <wp:extent cx="6400800" cy="8272379"/>
            <wp:effectExtent l="0" t="0" r="0" b="0"/>
            <wp:docPr id="1060" name="shape1060"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33">
                      <a:extLst>
                        <a:ext uri="{28A0092B-C50C-407E-A947-70E740481C1C}">
                          <a14:useLocalDpi xmlns:a14="http://schemas.microsoft.com/office/drawing/2010/main" val="0"/>
                        </a:ext>
                      </a:extLst>
                    </a:blip>
                    <a:srcRect/>
                    <a:stretch>
                      <a:fillRect/>
                    </a:stretch>
                  </pic:blipFill>
                  <pic:spPr>
                    <a:xfrm>
                      <a:off x="0" y="0"/>
                      <a:ext cx="6400800" cy="8272379"/>
                    </a:xfrm>
                    <a:prstGeom prst="rect"/>
                    <a:noFill/>
                    <a:ln>
                      <a:noFill/>
                    </a:ln>
                  </pic:spPr>
                </pic:pic>
              </a:graphicData>
            </a:graphic>
          </wp:inline>
        </w:drawing>
      </w:r>
    </w:p>
    <w:p>
      <w:pPr>
        <w:jc w:val="center"/>
        <w:rPr>
          <w:rFonts w:ascii="Garamond" w:hAnsi="Garamond" w:cs="Arial"/>
          <w:i/>
          <w:sz w:val="22"/>
          <w:szCs w:val="40"/>
        </w:rPr>
      </w:pPr>
      <w:r>
        <w:rPr>
          <w:rFonts w:ascii="Garamond" w:hAnsi="Garamond" w:cs="Arial"/>
          <w:b/>
          <w:color w:val="0070C0"/>
          <w:sz w:val="22"/>
          <w:szCs w:val="40"/>
        </w:rPr>
        <w:t>Figure 5B</w:t>
      </w:r>
      <w:r>
        <w:rPr>
          <w:rFonts w:ascii="Garamond" w:hAnsi="Garamond" w:cs="Arial"/>
          <w:b/>
          <w:sz w:val="22"/>
          <w:szCs w:val="40"/>
        </w:rPr>
        <w:t xml:space="preserve">: </w:t>
      </w:r>
      <w:r>
        <w:rPr>
          <w:rFonts w:ascii="Garamond" w:hAnsi="Garamond" w:cs="Arial"/>
          <w:i/>
          <w:sz w:val="22"/>
          <w:szCs w:val="40"/>
        </w:rPr>
        <w:t>Raw Plate Counts for E. coli</w:t>
      </w:r>
      <w:r>
        <w:rPr>
          <w:rFonts w:ascii="Garamond" w:hAnsi="Garamond" w:cs="Arial"/>
          <w:i/>
          <w:sz w:val="22"/>
          <w:szCs w:val="40"/>
        </w:rPr>
        <w:t xml:space="preserve"> Control Trial</w:t>
      </w:r>
    </w:p>
    <w:p>
      <w:pPr>
        <w:jc w:val="center"/>
        <w:rPr>
          <w:rFonts w:ascii="Arial" w:hAnsi="Arial" w:cs="Arial"/>
          <w:b/>
          <w:sz w:val="32"/>
          <w:szCs w:val="40"/>
        </w:rPr>
      </w:pPr>
      <w:r>
        <w:drawing>
          <wp:inline distT="0" distB="0" distL="0" distR="0">
            <wp:extent cx="6400800" cy="8279865"/>
            <wp:effectExtent l="0" t="0" r="0" b="0"/>
            <wp:docPr id="1061" name="shape1061"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34">
                      <a:extLst>
                        <a:ext uri="{28A0092B-C50C-407E-A947-70E740481C1C}">
                          <a14:useLocalDpi xmlns:a14="http://schemas.microsoft.com/office/drawing/2010/main" val="0"/>
                        </a:ext>
                      </a:extLst>
                    </a:blip>
                    <a:srcRect/>
                    <a:stretch>
                      <a:fillRect/>
                    </a:stretch>
                  </pic:blipFill>
                  <pic:spPr>
                    <a:xfrm>
                      <a:off x="0" y="0"/>
                      <a:ext cx="6400800" cy="8279865"/>
                    </a:xfrm>
                    <a:prstGeom prst="rect"/>
                    <a:noFill/>
                    <a:ln>
                      <a:noFill/>
                    </a:ln>
                  </pic:spPr>
                </pic:pic>
              </a:graphicData>
            </a:graphic>
          </wp:inline>
        </w:drawing>
      </w:r>
      <w:r>
        <w:t xml:space="preserve"> </w:t>
      </w:r>
    </w:p>
    <w:p>
      <w:pPr>
        <w:jc w:val="center"/>
        <w:rPr>
          <w:rFonts w:ascii="Garamond" w:hAnsi="Garamond" w:cs="Arial"/>
          <w:sz w:val="22"/>
          <w:szCs w:val="40"/>
        </w:rPr>
      </w:pPr>
      <w:r>
        <w:rPr>
          <w:rFonts w:ascii="Garamond" w:hAnsi="Garamond" w:cs="Arial"/>
          <w:b/>
          <w:color w:val="0070C0"/>
          <w:sz w:val="22"/>
          <w:szCs w:val="40"/>
        </w:rPr>
        <w:t>Figure 6B</w:t>
      </w:r>
      <w:r>
        <w:rPr>
          <w:rFonts w:ascii="Garamond" w:hAnsi="Garamond" w:cs="Arial"/>
          <w:b/>
          <w:sz w:val="22"/>
          <w:szCs w:val="40"/>
        </w:rPr>
        <w:t xml:space="preserve">: </w:t>
      </w:r>
      <w:r>
        <w:rPr>
          <w:rFonts w:ascii="Garamond" w:hAnsi="Garamond" w:cs="Arial"/>
          <w:i/>
          <w:sz w:val="22"/>
          <w:szCs w:val="40"/>
        </w:rPr>
        <w:t>Raw Plate Counts for E. coli</w:t>
      </w:r>
      <w:r>
        <w:rPr>
          <w:rFonts w:ascii="Garamond" w:hAnsi="Garamond" w:cs="Arial"/>
          <w:i/>
          <w:sz w:val="22"/>
          <w:szCs w:val="40"/>
        </w:rPr>
        <w:t xml:space="preserve"> Trial 1</w:t>
      </w:r>
    </w:p>
    <w:p>
      <w:pPr>
        <w:jc w:val="center"/>
        <w:rPr>
          <w:rFonts w:ascii="Arial" w:hAnsi="Arial" w:cs="Arial"/>
          <w:i/>
          <w:sz w:val="22"/>
          <w:szCs w:val="40"/>
        </w:rPr>
      </w:pPr>
      <w:r>
        <w:drawing>
          <wp:inline distT="0" distB="0" distL="0" distR="0">
            <wp:extent cx="6400800" cy="8279865"/>
            <wp:effectExtent l="0" t="0" r="0" b="0"/>
            <wp:docPr id="1062" name="shape1062"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35">
                      <a:extLst>
                        <a:ext uri="{28A0092B-C50C-407E-A947-70E740481C1C}">
                          <a14:useLocalDpi xmlns:a14="http://schemas.microsoft.com/office/drawing/2010/main" val="0"/>
                        </a:ext>
                      </a:extLst>
                    </a:blip>
                    <a:srcRect/>
                    <a:stretch>
                      <a:fillRect/>
                    </a:stretch>
                  </pic:blipFill>
                  <pic:spPr>
                    <a:xfrm>
                      <a:off x="0" y="0"/>
                      <a:ext cx="6400800" cy="8279865"/>
                    </a:xfrm>
                    <a:prstGeom prst="rect"/>
                    <a:noFill/>
                    <a:ln>
                      <a:noFill/>
                    </a:ln>
                  </pic:spPr>
                </pic:pic>
              </a:graphicData>
            </a:graphic>
          </wp:inline>
        </w:drawing>
      </w:r>
    </w:p>
    <w:p>
      <w:pPr>
        <w:jc w:val="center"/>
        <w:rPr>
          <w:rFonts w:ascii="Garamond" w:hAnsi="Garamond" w:cs="Arial"/>
          <w:i/>
          <w:sz w:val="22"/>
          <w:szCs w:val="40"/>
        </w:rPr>
      </w:pPr>
      <w:r>
        <w:rPr>
          <w:rFonts w:ascii="Garamond" w:hAnsi="Garamond" w:cs="Arial"/>
          <w:b/>
          <w:color w:val="0070C0"/>
          <w:sz w:val="22"/>
          <w:szCs w:val="40"/>
        </w:rPr>
        <w:t>Figure 7B</w:t>
      </w:r>
      <w:r>
        <w:rPr>
          <w:rFonts w:ascii="Garamond" w:hAnsi="Garamond" w:cs="Arial"/>
          <w:b/>
          <w:sz w:val="22"/>
          <w:szCs w:val="40"/>
        </w:rPr>
        <w:t xml:space="preserve">: </w:t>
      </w:r>
      <w:r>
        <w:rPr>
          <w:rFonts w:ascii="Garamond" w:hAnsi="Garamond" w:cs="Arial"/>
          <w:i/>
          <w:sz w:val="22"/>
          <w:szCs w:val="40"/>
        </w:rPr>
        <w:t>Raw Plate Counts for</w:t>
      </w:r>
      <w:r>
        <w:rPr>
          <w:rFonts w:ascii="Garamond" w:hAnsi="Garamond" w:cs="Arial"/>
          <w:sz w:val="22"/>
          <w:szCs w:val="40"/>
        </w:rPr>
        <w:t xml:space="preserve"> </w:t>
      </w:r>
      <w:r>
        <w:rPr>
          <w:rFonts w:ascii="Garamond" w:hAnsi="Garamond" w:cs="Arial"/>
          <w:i/>
          <w:sz w:val="22"/>
          <w:szCs w:val="40"/>
        </w:rPr>
        <w:t>E. coli</w:t>
      </w:r>
      <w:r>
        <w:rPr>
          <w:rFonts w:ascii="Garamond" w:hAnsi="Garamond" w:cs="Arial"/>
          <w:sz w:val="22"/>
          <w:szCs w:val="40"/>
        </w:rPr>
        <w:t xml:space="preserve"> </w:t>
      </w:r>
      <w:r>
        <w:rPr>
          <w:rFonts w:ascii="Garamond" w:hAnsi="Garamond" w:cs="Arial"/>
          <w:i/>
          <w:sz w:val="22"/>
          <w:szCs w:val="40"/>
        </w:rPr>
        <w:t>Trial 2</w:t>
      </w:r>
    </w:p>
    <w:p>
      <w:pPr>
        <w:jc w:val="center"/>
        <w:rPr>
          <w:rFonts w:ascii="Arial" w:hAnsi="Arial" w:cs="Arial"/>
          <w:b/>
          <w:sz w:val="32"/>
          <w:szCs w:val="40"/>
        </w:rPr>
      </w:pPr>
      <w:r>
        <w:drawing>
          <wp:inline distT="0" distB="0" distL="0" distR="0">
            <wp:extent cx="6400800" cy="8279865"/>
            <wp:effectExtent l="0" t="0" r="0" b="0"/>
            <wp:docPr id="1063" name="shape1063"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36">
                      <a:extLst>
                        <a:ext uri="{28A0092B-C50C-407E-A947-70E740481C1C}">
                          <a14:useLocalDpi xmlns:a14="http://schemas.microsoft.com/office/drawing/2010/main" val="0"/>
                        </a:ext>
                      </a:extLst>
                    </a:blip>
                    <a:srcRect/>
                    <a:stretch>
                      <a:fillRect/>
                    </a:stretch>
                  </pic:blipFill>
                  <pic:spPr>
                    <a:xfrm>
                      <a:off x="0" y="0"/>
                      <a:ext cx="6400800" cy="8279865"/>
                    </a:xfrm>
                    <a:prstGeom prst="rect"/>
                    <a:noFill/>
                    <a:ln>
                      <a:noFill/>
                    </a:ln>
                  </pic:spPr>
                </pic:pic>
              </a:graphicData>
            </a:graphic>
          </wp:inline>
        </w:drawing>
      </w:r>
    </w:p>
    <w:p>
      <w:pPr>
        <w:jc w:val="center"/>
        <w:rPr>
          <w:rFonts w:ascii="Garamond" w:hAnsi="Garamond" w:cs="Arial"/>
          <w:sz w:val="22"/>
          <w:szCs w:val="40"/>
        </w:rPr>
      </w:pPr>
      <w:r>
        <w:rPr>
          <w:rFonts w:ascii="Garamond" w:hAnsi="Garamond" w:cs="Arial"/>
          <w:b/>
          <w:color w:val="0070C0"/>
          <w:sz w:val="22"/>
          <w:szCs w:val="40"/>
        </w:rPr>
        <w:t>Figure 8B</w:t>
      </w:r>
      <w:r>
        <w:rPr>
          <w:rFonts w:ascii="Garamond" w:hAnsi="Garamond" w:cs="Arial"/>
          <w:b/>
          <w:sz w:val="22"/>
          <w:szCs w:val="40"/>
        </w:rPr>
        <w:t xml:space="preserve">: </w:t>
      </w:r>
      <w:r>
        <w:rPr>
          <w:rFonts w:ascii="Garamond" w:hAnsi="Garamond" w:cs="Arial"/>
          <w:sz w:val="22"/>
          <w:szCs w:val="40"/>
        </w:rPr>
        <w:t xml:space="preserve"> </w:t>
      </w:r>
      <w:r>
        <w:rPr>
          <w:rFonts w:ascii="Garamond" w:hAnsi="Garamond" w:cs="Arial"/>
          <w:i/>
          <w:sz w:val="22"/>
          <w:szCs w:val="40"/>
        </w:rPr>
        <w:t xml:space="preserve">Raw Plate Counts for </w:t>
      </w:r>
      <w:r>
        <w:rPr>
          <w:rFonts w:ascii="Garamond" w:hAnsi="Garamond" w:cs="Arial"/>
          <w:i/>
          <w:sz w:val="22"/>
          <w:szCs w:val="40"/>
        </w:rPr>
        <w:t>E. coli</w:t>
      </w:r>
      <w:r>
        <w:rPr>
          <w:rFonts w:ascii="Garamond" w:hAnsi="Garamond" w:cs="Arial"/>
          <w:sz w:val="22"/>
          <w:szCs w:val="40"/>
        </w:rPr>
        <w:t xml:space="preserve"> </w:t>
      </w:r>
      <w:r>
        <w:rPr>
          <w:rFonts w:ascii="Garamond" w:hAnsi="Garamond" w:cs="Arial"/>
          <w:i/>
          <w:sz w:val="22"/>
          <w:szCs w:val="40"/>
        </w:rPr>
        <w:t>Trial 3</w:t>
      </w:r>
    </w:p>
    <w:p>
      <w:pPr>
        <w:jc w:val="center"/>
        <w:rPr>
          <w:rFonts w:ascii="Arial" w:hAnsi="Arial" w:cs="Arial"/>
          <w:b/>
          <w:sz w:val="32"/>
          <w:szCs w:val="40"/>
        </w:rPr>
      </w:pPr>
      <w:r>
        <w:drawing>
          <wp:inline distT="0" distB="0" distL="0" distR="0">
            <wp:extent cx="6217920" cy="8232381"/>
            <wp:effectExtent l="0" t="0" r="0" b="0"/>
            <wp:docPr id="1064" name="shape1064"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37">
                      <a:extLst>
                        <a:ext uri="{28A0092B-C50C-407E-A947-70E740481C1C}">
                          <a14:useLocalDpi xmlns:a14="http://schemas.microsoft.com/office/drawing/2010/main" val="0"/>
                        </a:ext>
                      </a:extLst>
                    </a:blip>
                    <a:srcRect/>
                    <a:stretch>
                      <a:fillRect/>
                    </a:stretch>
                  </pic:blipFill>
                  <pic:spPr>
                    <a:xfrm>
                      <a:off x="0" y="0"/>
                      <a:ext cx="6217920" cy="8232381"/>
                    </a:xfrm>
                    <a:prstGeom prst="rect"/>
                    <a:noFill/>
                    <a:ln>
                      <a:noFill/>
                    </a:ln>
                  </pic:spPr>
                </pic:pic>
              </a:graphicData>
            </a:graphic>
          </wp:inline>
        </w:drawing>
      </w:r>
    </w:p>
    <w:p>
      <w:pPr>
        <w:jc w:val="center"/>
        <w:rPr>
          <w:rFonts w:ascii="Garamond" w:hAnsi="Garamond" w:cs="Arial"/>
          <w:i/>
          <w:sz w:val="22"/>
          <w:szCs w:val="40"/>
        </w:rPr>
      </w:pPr>
      <w:r>
        <w:rPr>
          <w:rFonts w:ascii="Garamond" w:hAnsi="Garamond" w:cs="Arial"/>
          <w:b/>
          <w:color w:val="0070C0"/>
          <w:sz w:val="22"/>
          <w:szCs w:val="40"/>
        </w:rPr>
        <w:t>Figure 9B</w:t>
      </w:r>
      <w:r>
        <w:rPr>
          <w:rFonts w:ascii="Garamond" w:hAnsi="Garamond" w:cs="Arial"/>
          <w:b/>
          <w:sz w:val="22"/>
          <w:szCs w:val="40"/>
        </w:rPr>
        <w:t xml:space="preserve">: </w:t>
      </w:r>
      <w:r>
        <w:rPr>
          <w:rFonts w:ascii="Garamond" w:hAnsi="Garamond" w:cs="Arial"/>
          <w:sz w:val="22"/>
          <w:szCs w:val="40"/>
        </w:rPr>
        <w:t xml:space="preserve"> </w:t>
      </w:r>
      <w:r>
        <w:rPr>
          <w:rFonts w:ascii="Garamond" w:hAnsi="Garamond" w:cs="Arial"/>
          <w:i/>
          <w:sz w:val="22"/>
          <w:szCs w:val="40"/>
        </w:rPr>
        <w:t xml:space="preserve">Raw Plate Counts for </w:t>
      </w:r>
      <w:r>
        <w:rPr>
          <w:rFonts w:ascii="Garamond" w:hAnsi="Garamond" w:cs="Arial"/>
          <w:i/>
          <w:sz w:val="22"/>
          <w:szCs w:val="40"/>
        </w:rPr>
        <w:t>A. brasiliensis</w:t>
      </w:r>
      <w:r>
        <w:rPr>
          <w:rFonts w:ascii="Garamond" w:hAnsi="Garamond" w:cs="Arial"/>
          <w:sz w:val="22"/>
          <w:szCs w:val="40"/>
        </w:rPr>
        <w:t xml:space="preserve"> </w:t>
      </w:r>
      <w:r>
        <w:rPr>
          <w:rFonts w:ascii="Garamond" w:hAnsi="Garamond" w:cs="Arial"/>
          <w:i/>
          <w:sz w:val="22"/>
          <w:szCs w:val="40"/>
        </w:rPr>
        <w:t>Control Trial</w:t>
      </w:r>
    </w:p>
    <w:p>
      <w:pPr>
        <w:jc w:val="center"/>
        <w:rPr>
          <w:rFonts w:ascii="Garamond" w:hAnsi="Garamond" w:cs="Arial"/>
          <w:i/>
          <w:sz w:val="22"/>
          <w:szCs w:val="40"/>
        </w:rPr>
      </w:pPr>
    </w:p>
    <w:p>
      <w:pPr>
        <w:jc w:val="center"/>
        <w:rPr>
          <w:rFonts w:ascii="Arial" w:hAnsi="Arial" w:cs="Arial"/>
          <w:sz w:val="22"/>
          <w:szCs w:val="40"/>
        </w:rPr>
      </w:pPr>
      <w:r>
        <w:drawing>
          <wp:inline distT="0" distB="0" distL="0" distR="0">
            <wp:extent cx="6217920" cy="8232381"/>
            <wp:effectExtent l="0" t="0" r="0" b="0"/>
            <wp:docPr id="1065" name="shape1065"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38">
                      <a:extLst>
                        <a:ext uri="{28A0092B-C50C-407E-A947-70E740481C1C}">
                          <a14:useLocalDpi xmlns:a14="http://schemas.microsoft.com/office/drawing/2010/main" val="0"/>
                        </a:ext>
                      </a:extLst>
                    </a:blip>
                    <a:srcRect/>
                    <a:stretch>
                      <a:fillRect/>
                    </a:stretch>
                  </pic:blipFill>
                  <pic:spPr>
                    <a:xfrm>
                      <a:off x="0" y="0"/>
                      <a:ext cx="6217920" cy="8232381"/>
                    </a:xfrm>
                    <a:prstGeom prst="rect"/>
                    <a:noFill/>
                    <a:ln>
                      <a:noFill/>
                    </a:ln>
                  </pic:spPr>
                </pic:pic>
              </a:graphicData>
            </a:graphic>
          </wp:inline>
        </w:drawing>
      </w:r>
    </w:p>
    <w:p>
      <w:pPr>
        <w:jc w:val="center"/>
        <w:rPr>
          <w:rFonts w:ascii="Garamond" w:hAnsi="Garamond" w:cs="Arial"/>
          <w:i/>
          <w:sz w:val="22"/>
          <w:szCs w:val="40"/>
        </w:rPr>
      </w:pPr>
      <w:r>
        <w:rPr>
          <w:rFonts w:ascii="Garamond" w:hAnsi="Garamond" w:cs="Arial"/>
          <w:b/>
          <w:color w:val="0070C0"/>
          <w:sz w:val="22"/>
          <w:szCs w:val="40"/>
        </w:rPr>
        <w:t>Figure 10B</w:t>
      </w:r>
      <w:r>
        <w:rPr>
          <w:rFonts w:ascii="Garamond" w:hAnsi="Garamond" w:cs="Arial"/>
          <w:b/>
          <w:sz w:val="22"/>
          <w:szCs w:val="40"/>
        </w:rPr>
        <w:t xml:space="preserve">: </w:t>
      </w:r>
      <w:r>
        <w:rPr>
          <w:rFonts w:ascii="Garamond" w:hAnsi="Garamond" w:cs="Arial"/>
          <w:sz w:val="22"/>
          <w:szCs w:val="40"/>
        </w:rPr>
        <w:t xml:space="preserve"> </w:t>
      </w:r>
      <w:r>
        <w:rPr>
          <w:rFonts w:ascii="Garamond" w:hAnsi="Garamond" w:cs="Arial"/>
          <w:i/>
          <w:sz w:val="22"/>
          <w:szCs w:val="40"/>
        </w:rPr>
        <w:t xml:space="preserve">Raw Plate Counts for </w:t>
      </w:r>
      <w:r>
        <w:rPr>
          <w:rFonts w:ascii="Garamond" w:hAnsi="Garamond" w:cs="Arial"/>
          <w:i/>
          <w:sz w:val="22"/>
          <w:szCs w:val="40"/>
        </w:rPr>
        <w:t>A. brasiliensis</w:t>
      </w:r>
      <w:r>
        <w:rPr>
          <w:rFonts w:ascii="Garamond" w:hAnsi="Garamond" w:cs="Arial"/>
          <w:sz w:val="22"/>
          <w:szCs w:val="40"/>
        </w:rPr>
        <w:t xml:space="preserve"> </w:t>
      </w:r>
      <w:r>
        <w:rPr>
          <w:rFonts w:ascii="Garamond" w:hAnsi="Garamond" w:cs="Arial"/>
          <w:i/>
          <w:sz w:val="22"/>
          <w:szCs w:val="40"/>
        </w:rPr>
        <w:t>Trial 1</w:t>
      </w:r>
    </w:p>
    <w:p>
      <w:pPr>
        <w:jc w:val="center"/>
        <w:rPr>
          <w:rFonts w:ascii="Arial" w:hAnsi="Arial" w:cs="Arial"/>
          <w:sz w:val="22"/>
          <w:szCs w:val="40"/>
        </w:rPr>
      </w:pPr>
    </w:p>
    <w:p>
      <w:pPr>
        <w:jc w:val="center"/>
        <w:rPr>
          <w:rFonts w:ascii="Arial" w:hAnsi="Arial" w:cs="Arial"/>
          <w:sz w:val="22"/>
          <w:szCs w:val="40"/>
        </w:rPr>
      </w:pPr>
      <w:r>
        <w:drawing>
          <wp:inline distT="0" distB="0" distL="0" distR="0">
            <wp:extent cx="6309360" cy="8353445"/>
            <wp:effectExtent l="0" t="0" r="0" b="0"/>
            <wp:docPr id="1066" name="shape1066"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39">
                      <a:extLst>
                        <a:ext uri="{28A0092B-C50C-407E-A947-70E740481C1C}">
                          <a14:useLocalDpi xmlns:a14="http://schemas.microsoft.com/office/drawing/2010/main" val="0"/>
                        </a:ext>
                      </a:extLst>
                    </a:blip>
                    <a:srcRect/>
                    <a:stretch>
                      <a:fillRect/>
                    </a:stretch>
                  </pic:blipFill>
                  <pic:spPr>
                    <a:xfrm>
                      <a:off x="0" y="0"/>
                      <a:ext cx="6309360" cy="8353445"/>
                    </a:xfrm>
                    <a:prstGeom prst="rect"/>
                    <a:noFill/>
                    <a:ln>
                      <a:noFill/>
                    </a:ln>
                  </pic:spPr>
                </pic:pic>
              </a:graphicData>
            </a:graphic>
          </wp:inline>
        </w:drawing>
      </w:r>
    </w:p>
    <w:p>
      <w:pPr>
        <w:jc w:val="center"/>
        <w:rPr>
          <w:rFonts w:ascii="Garamond" w:hAnsi="Garamond" w:cs="Arial"/>
          <w:i/>
          <w:sz w:val="22"/>
          <w:szCs w:val="40"/>
        </w:rPr>
      </w:pPr>
      <w:r>
        <w:rPr>
          <w:rFonts w:ascii="Garamond" w:hAnsi="Garamond" w:cs="Arial"/>
          <w:b/>
          <w:color w:val="0070C0"/>
          <w:sz w:val="22"/>
          <w:szCs w:val="40"/>
        </w:rPr>
        <w:t>Figure 11B</w:t>
      </w:r>
      <w:r>
        <w:rPr>
          <w:rFonts w:ascii="Garamond" w:hAnsi="Garamond" w:cs="Arial"/>
          <w:b/>
          <w:sz w:val="22"/>
          <w:szCs w:val="40"/>
        </w:rPr>
        <w:t xml:space="preserve">: </w:t>
      </w:r>
      <w:r>
        <w:rPr>
          <w:rFonts w:ascii="Garamond" w:hAnsi="Garamond" w:cs="Arial"/>
          <w:sz w:val="22"/>
          <w:szCs w:val="40"/>
        </w:rPr>
        <w:t xml:space="preserve"> </w:t>
      </w:r>
      <w:r>
        <w:rPr>
          <w:rFonts w:ascii="Garamond" w:hAnsi="Garamond" w:cs="Arial"/>
          <w:i/>
          <w:sz w:val="22"/>
          <w:szCs w:val="40"/>
        </w:rPr>
        <w:t xml:space="preserve">Raw Plate Counts for </w:t>
      </w:r>
      <w:r>
        <w:rPr>
          <w:rFonts w:ascii="Garamond" w:hAnsi="Garamond" w:cs="Arial"/>
          <w:i/>
          <w:sz w:val="22"/>
          <w:szCs w:val="40"/>
        </w:rPr>
        <w:t>A. brasiliensis</w:t>
      </w:r>
      <w:r>
        <w:rPr>
          <w:rFonts w:ascii="Garamond" w:hAnsi="Garamond" w:cs="Arial"/>
          <w:sz w:val="22"/>
          <w:szCs w:val="40"/>
        </w:rPr>
        <w:t xml:space="preserve"> </w:t>
      </w:r>
      <w:r>
        <w:rPr>
          <w:rFonts w:ascii="Garamond" w:hAnsi="Garamond" w:cs="Arial"/>
          <w:i/>
          <w:sz w:val="22"/>
          <w:szCs w:val="40"/>
        </w:rPr>
        <w:t>Trial 2</w:t>
      </w:r>
    </w:p>
    <w:p>
      <w:pPr>
        <w:jc w:val="center"/>
        <w:rPr>
          <w:rFonts w:ascii="Arial" w:hAnsi="Arial" w:cs="Arial"/>
          <w:sz w:val="22"/>
          <w:szCs w:val="40"/>
        </w:rPr>
      </w:pPr>
      <w:r>
        <w:drawing>
          <wp:inline distT="0" distB="0" distL="0" distR="0">
            <wp:extent cx="6309360" cy="8353445"/>
            <wp:effectExtent l="0" t="0" r="0" b="0"/>
            <wp:docPr id="1067" name="shape1067"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40">
                      <a:extLst>
                        <a:ext uri="{28A0092B-C50C-407E-A947-70E740481C1C}">
                          <a14:useLocalDpi xmlns:a14="http://schemas.microsoft.com/office/drawing/2010/main" val="0"/>
                        </a:ext>
                      </a:extLst>
                    </a:blip>
                    <a:srcRect/>
                    <a:stretch>
                      <a:fillRect/>
                    </a:stretch>
                  </pic:blipFill>
                  <pic:spPr>
                    <a:xfrm>
                      <a:off x="0" y="0"/>
                      <a:ext cx="6309360" cy="8353445"/>
                    </a:xfrm>
                    <a:prstGeom prst="rect"/>
                    <a:noFill/>
                    <a:ln>
                      <a:noFill/>
                    </a:ln>
                  </pic:spPr>
                </pic:pic>
              </a:graphicData>
            </a:graphic>
          </wp:inline>
        </w:drawing>
      </w:r>
    </w:p>
    <w:p>
      <w:pPr>
        <w:jc w:val="center"/>
        <w:rPr>
          <w:rFonts w:ascii="Garamond" w:hAnsi="Garamond" w:cs="Arial"/>
          <w:i/>
          <w:sz w:val="22"/>
          <w:szCs w:val="40"/>
        </w:rPr>
      </w:pPr>
      <w:r>
        <w:rPr>
          <w:rFonts w:ascii="Garamond" w:hAnsi="Garamond" w:cs="Arial"/>
          <w:b/>
          <w:color w:val="0070C0"/>
          <w:sz w:val="22"/>
          <w:szCs w:val="40"/>
        </w:rPr>
        <w:t>Figure 12B:</w:t>
      </w:r>
      <w:r>
        <w:rPr>
          <w:rFonts w:ascii="Garamond" w:hAnsi="Garamond" w:cs="Arial"/>
          <w:b/>
          <w:sz w:val="22"/>
          <w:szCs w:val="40"/>
        </w:rPr>
        <w:t xml:space="preserve"> </w:t>
      </w:r>
      <w:r>
        <w:rPr>
          <w:rFonts w:ascii="Garamond" w:hAnsi="Garamond" w:cs="Arial"/>
          <w:sz w:val="22"/>
          <w:szCs w:val="40"/>
        </w:rPr>
        <w:t xml:space="preserve"> </w:t>
      </w:r>
      <w:r>
        <w:rPr>
          <w:rFonts w:ascii="Garamond" w:hAnsi="Garamond" w:cs="Arial"/>
          <w:i/>
          <w:sz w:val="22"/>
          <w:szCs w:val="40"/>
        </w:rPr>
        <w:t xml:space="preserve">Raw Plate Counts for </w:t>
      </w:r>
      <w:r>
        <w:rPr>
          <w:rFonts w:ascii="Garamond" w:hAnsi="Garamond" w:cs="Arial"/>
          <w:i/>
          <w:sz w:val="22"/>
          <w:szCs w:val="40"/>
        </w:rPr>
        <w:t>A. brasiliensis</w:t>
      </w:r>
      <w:r>
        <w:rPr>
          <w:rFonts w:ascii="Garamond" w:hAnsi="Garamond" w:cs="Arial"/>
          <w:sz w:val="22"/>
          <w:szCs w:val="40"/>
        </w:rPr>
        <w:t xml:space="preserve"> </w:t>
      </w:r>
      <w:r>
        <w:rPr>
          <w:rFonts w:ascii="Garamond" w:hAnsi="Garamond" w:cs="Arial"/>
          <w:i/>
          <w:sz w:val="22"/>
          <w:szCs w:val="40"/>
        </w:rPr>
        <w:t>Trial 3</w:t>
      </w:r>
    </w:p>
    <w:p>
      <w:pPr>
        <w:jc w:val="center"/>
        <w:rPr>
          <w:rFonts w:ascii="Garamond" w:hAnsi="Garamond" w:cs="Arial"/>
          <w:b/>
          <w:color w:val="0070C0"/>
          <w:sz w:val="22"/>
          <w:szCs w:val="40"/>
        </w:rPr>
      </w:pPr>
      <w:r>
        <w:drawing>
          <wp:inline distT="0" distB="0" distL="0" distR="0">
            <wp:extent cx="6217920" cy="8232381"/>
            <wp:effectExtent l="0" t="0" r="0" b="0"/>
            <wp:docPr id="1068" name="shape1068"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41">
                      <a:extLst>
                        <a:ext uri="{28A0092B-C50C-407E-A947-70E740481C1C}">
                          <a14:useLocalDpi xmlns:a14="http://schemas.microsoft.com/office/drawing/2010/main" val="0"/>
                        </a:ext>
                      </a:extLst>
                    </a:blip>
                    <a:srcRect/>
                    <a:stretch>
                      <a:fillRect/>
                    </a:stretch>
                  </pic:blipFill>
                  <pic:spPr>
                    <a:xfrm>
                      <a:off x="0" y="0"/>
                      <a:ext cx="6217920" cy="8232381"/>
                    </a:xfrm>
                    <a:prstGeom prst="rect"/>
                    <a:noFill/>
                    <a:ln>
                      <a:noFill/>
                    </a:ln>
                  </pic:spPr>
                </pic:pic>
              </a:graphicData>
            </a:graphic>
          </wp:inline>
        </w:drawing>
      </w:r>
    </w:p>
    <w:p>
      <w:pPr>
        <w:jc w:val="center"/>
        <w:rPr>
          <w:rFonts w:ascii="Garamond" w:hAnsi="Garamond" w:cs="Arial"/>
          <w:i/>
          <w:sz w:val="22"/>
          <w:szCs w:val="40"/>
        </w:rPr>
      </w:pPr>
      <w:r>
        <w:rPr>
          <w:rFonts w:ascii="Garamond" w:hAnsi="Garamond" w:cs="Arial"/>
          <w:b/>
          <w:color w:val="0070C0"/>
          <w:sz w:val="22"/>
          <w:szCs w:val="40"/>
        </w:rPr>
        <w:t>Figure 13B</w:t>
      </w:r>
      <w:r>
        <w:rPr>
          <w:rFonts w:ascii="Garamond" w:hAnsi="Garamond" w:cs="Arial"/>
          <w:b/>
          <w:sz w:val="22"/>
          <w:szCs w:val="40"/>
        </w:rPr>
        <w:t xml:space="preserve">: </w:t>
      </w:r>
      <w:r>
        <w:rPr>
          <w:rFonts w:ascii="Garamond" w:hAnsi="Garamond" w:cs="Arial"/>
          <w:sz w:val="22"/>
          <w:szCs w:val="40"/>
        </w:rPr>
        <w:t xml:space="preserve"> </w:t>
      </w:r>
      <w:r>
        <w:rPr>
          <w:rFonts w:ascii="Garamond" w:hAnsi="Garamond" w:cs="Arial"/>
          <w:i/>
          <w:sz w:val="22"/>
          <w:szCs w:val="40"/>
        </w:rPr>
        <w:t xml:space="preserve">Raw Plate Counts for </w:t>
      </w:r>
      <w:r>
        <w:rPr>
          <w:rFonts w:ascii="Garamond" w:hAnsi="Garamond" w:cs="Arial"/>
          <w:i/>
          <w:sz w:val="22"/>
          <w:szCs w:val="40"/>
        </w:rPr>
        <w:t>B. subtilis</w:t>
      </w:r>
      <w:r>
        <w:rPr>
          <w:rFonts w:ascii="Garamond" w:hAnsi="Garamond" w:cs="Arial"/>
          <w:sz w:val="22"/>
          <w:szCs w:val="40"/>
        </w:rPr>
        <w:t xml:space="preserve"> </w:t>
      </w:r>
      <w:r>
        <w:rPr>
          <w:rFonts w:ascii="Garamond" w:hAnsi="Garamond" w:cs="Arial"/>
          <w:i/>
          <w:sz w:val="22"/>
          <w:szCs w:val="40"/>
        </w:rPr>
        <w:t>Control Trial</w:t>
      </w:r>
    </w:p>
    <w:p>
      <w:pPr>
        <w:jc w:val="center"/>
        <w:rPr>
          <w:rFonts w:ascii="Garamond" w:hAnsi="Garamond" w:cs="Arial"/>
          <w:i/>
          <w:sz w:val="22"/>
          <w:szCs w:val="40"/>
        </w:rPr>
      </w:pPr>
    </w:p>
    <w:p>
      <w:pPr>
        <w:jc w:val="center"/>
        <w:rPr>
          <w:rFonts w:ascii="Arial" w:hAnsi="Arial" w:cs="Arial"/>
          <w:b/>
          <w:sz w:val="40"/>
          <w:szCs w:val="40"/>
        </w:rPr>
      </w:pPr>
      <w:r>
        <w:drawing>
          <wp:inline distT="0" distB="0" distL="0" distR="0">
            <wp:extent cx="6217920" cy="8232381"/>
            <wp:effectExtent l="0" t="0" r="0" b="0"/>
            <wp:docPr id="1069" name="shape1069"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42">
                      <a:extLst>
                        <a:ext uri="{28A0092B-C50C-407E-A947-70E740481C1C}">
                          <a14:useLocalDpi xmlns:a14="http://schemas.microsoft.com/office/drawing/2010/main" val="0"/>
                        </a:ext>
                      </a:extLst>
                    </a:blip>
                    <a:srcRect/>
                    <a:stretch>
                      <a:fillRect/>
                    </a:stretch>
                  </pic:blipFill>
                  <pic:spPr>
                    <a:xfrm>
                      <a:off x="0" y="0"/>
                      <a:ext cx="6217920" cy="8232381"/>
                    </a:xfrm>
                    <a:prstGeom prst="rect"/>
                    <a:noFill/>
                    <a:ln>
                      <a:noFill/>
                    </a:ln>
                  </pic:spPr>
                </pic:pic>
              </a:graphicData>
            </a:graphic>
          </wp:inline>
        </w:drawing>
      </w:r>
    </w:p>
    <w:p>
      <w:pPr>
        <w:jc w:val="center"/>
        <w:rPr>
          <w:rFonts w:ascii="Garamond" w:hAnsi="Garamond" w:cs="Arial"/>
          <w:sz w:val="22"/>
          <w:szCs w:val="40"/>
        </w:rPr>
      </w:pPr>
      <w:r>
        <w:rPr>
          <w:rFonts w:ascii="Garamond" w:hAnsi="Garamond" w:cs="Arial"/>
          <w:b/>
          <w:color w:val="0070C0"/>
          <w:sz w:val="22"/>
          <w:szCs w:val="40"/>
        </w:rPr>
        <w:t>Figure 14B</w:t>
      </w:r>
      <w:r>
        <w:rPr>
          <w:rFonts w:ascii="Garamond" w:hAnsi="Garamond" w:cs="Arial"/>
          <w:b/>
          <w:sz w:val="22"/>
          <w:szCs w:val="40"/>
        </w:rPr>
        <w:t xml:space="preserve">: </w:t>
      </w:r>
      <w:r>
        <w:rPr>
          <w:rFonts w:ascii="Garamond" w:hAnsi="Garamond" w:cs="Arial"/>
          <w:sz w:val="22"/>
          <w:szCs w:val="40"/>
        </w:rPr>
        <w:t xml:space="preserve"> </w:t>
      </w:r>
      <w:r>
        <w:rPr>
          <w:rFonts w:ascii="Garamond" w:hAnsi="Garamond" w:cs="Arial"/>
          <w:i/>
          <w:sz w:val="22"/>
          <w:szCs w:val="40"/>
        </w:rPr>
        <w:t xml:space="preserve">Raw Plate Counts for </w:t>
      </w:r>
      <w:r>
        <w:rPr>
          <w:rFonts w:ascii="Garamond" w:hAnsi="Garamond" w:cs="Arial"/>
          <w:i/>
          <w:sz w:val="22"/>
          <w:szCs w:val="40"/>
        </w:rPr>
        <w:t>B. subtilis</w:t>
      </w:r>
      <w:r>
        <w:rPr>
          <w:rFonts w:ascii="Garamond" w:hAnsi="Garamond" w:cs="Arial"/>
          <w:sz w:val="22"/>
          <w:szCs w:val="40"/>
        </w:rPr>
        <w:t xml:space="preserve"> </w:t>
      </w:r>
      <w:r>
        <w:rPr>
          <w:rFonts w:ascii="Garamond" w:hAnsi="Garamond" w:cs="Arial"/>
          <w:i/>
          <w:sz w:val="22"/>
          <w:szCs w:val="40"/>
        </w:rPr>
        <w:t>Trial 1</w:t>
      </w:r>
    </w:p>
    <w:p>
      <w:pPr>
        <w:jc w:val="center"/>
        <w:rPr>
          <w:rFonts w:ascii="Arial" w:hAnsi="Arial" w:cs="Arial"/>
          <w:b/>
          <w:i/>
          <w:sz w:val="22"/>
          <w:szCs w:val="40"/>
        </w:rPr>
      </w:pPr>
      <w:r>
        <w:drawing>
          <wp:inline distT="0" distB="0" distL="0" distR="0">
            <wp:extent cx="6217920" cy="8232381"/>
            <wp:effectExtent l="0" t="0" r="0" b="0"/>
            <wp:docPr id="1070" name="shape1070"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43">
                      <a:extLst>
                        <a:ext uri="{28A0092B-C50C-407E-A947-70E740481C1C}">
                          <a14:useLocalDpi xmlns:a14="http://schemas.microsoft.com/office/drawing/2010/main" val="0"/>
                        </a:ext>
                      </a:extLst>
                    </a:blip>
                    <a:srcRect/>
                    <a:stretch>
                      <a:fillRect/>
                    </a:stretch>
                  </pic:blipFill>
                  <pic:spPr>
                    <a:xfrm>
                      <a:off x="0" y="0"/>
                      <a:ext cx="6217920" cy="8232381"/>
                    </a:xfrm>
                    <a:prstGeom prst="rect"/>
                    <a:noFill/>
                    <a:ln>
                      <a:noFill/>
                    </a:ln>
                  </pic:spPr>
                </pic:pic>
              </a:graphicData>
            </a:graphic>
          </wp:inline>
        </w:drawing>
      </w:r>
    </w:p>
    <w:p>
      <w:pPr>
        <w:jc w:val="center"/>
        <w:rPr>
          <w:rFonts w:ascii="Garamond" w:hAnsi="Garamond" w:cs="Arial"/>
          <w:b/>
          <w:sz w:val="40"/>
          <w:szCs w:val="40"/>
        </w:rPr>
      </w:pPr>
      <w:r>
        <w:rPr>
          <w:rFonts w:ascii="Garamond" w:hAnsi="Garamond" w:cs="Arial"/>
          <w:b/>
          <w:color w:val="0070C0"/>
          <w:sz w:val="22"/>
          <w:szCs w:val="40"/>
        </w:rPr>
        <w:t>Figure 15B</w:t>
      </w:r>
      <w:r>
        <w:rPr>
          <w:rFonts w:ascii="Garamond" w:hAnsi="Garamond" w:cs="Arial"/>
          <w:b/>
          <w:sz w:val="22"/>
          <w:szCs w:val="40"/>
        </w:rPr>
        <w:t xml:space="preserve">: </w:t>
      </w:r>
      <w:r>
        <w:rPr>
          <w:rFonts w:ascii="Garamond" w:hAnsi="Garamond" w:cs="Arial"/>
          <w:sz w:val="22"/>
          <w:szCs w:val="40"/>
        </w:rPr>
        <w:t xml:space="preserve"> </w:t>
      </w:r>
      <w:r>
        <w:rPr>
          <w:rFonts w:ascii="Garamond" w:hAnsi="Garamond" w:cs="Arial"/>
          <w:i/>
          <w:sz w:val="22"/>
          <w:szCs w:val="40"/>
        </w:rPr>
        <w:t xml:space="preserve">Raw Plate Counts for </w:t>
      </w:r>
      <w:r>
        <w:rPr>
          <w:rFonts w:ascii="Garamond" w:hAnsi="Garamond" w:cs="Arial"/>
          <w:i/>
          <w:sz w:val="22"/>
          <w:szCs w:val="40"/>
        </w:rPr>
        <w:t>B. subtilis</w:t>
      </w:r>
      <w:r>
        <w:rPr>
          <w:rFonts w:ascii="Garamond" w:hAnsi="Garamond" w:cs="Arial"/>
          <w:sz w:val="22"/>
          <w:szCs w:val="40"/>
        </w:rPr>
        <w:t xml:space="preserve"> </w:t>
      </w:r>
      <w:r>
        <w:rPr>
          <w:rFonts w:ascii="Garamond" w:hAnsi="Garamond" w:cs="Arial"/>
          <w:i/>
          <w:sz w:val="22"/>
          <w:szCs w:val="40"/>
        </w:rPr>
        <w:t>Trial 2</w:t>
      </w:r>
    </w:p>
    <w:p>
      <w:pPr>
        <w:jc w:val="center"/>
        <w:rPr>
          <w:rFonts w:ascii="Arial" w:hAnsi="Arial" w:cs="Arial"/>
          <w:b/>
          <w:sz w:val="40"/>
          <w:szCs w:val="40"/>
        </w:rPr>
      </w:pPr>
      <w:r>
        <w:drawing>
          <wp:inline distT="0" distB="0" distL="0" distR="0">
            <wp:extent cx="6217920" cy="8232381"/>
            <wp:effectExtent l="0" t="0" r="0" b="0"/>
            <wp:docPr id="1071" name="shape1071"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44">
                      <a:extLst>
                        <a:ext uri="{28A0092B-C50C-407E-A947-70E740481C1C}">
                          <a14:useLocalDpi xmlns:a14="http://schemas.microsoft.com/office/drawing/2010/main" val="0"/>
                        </a:ext>
                      </a:extLst>
                    </a:blip>
                    <a:srcRect/>
                    <a:stretch>
                      <a:fillRect/>
                    </a:stretch>
                  </pic:blipFill>
                  <pic:spPr>
                    <a:xfrm>
                      <a:off x="0" y="0"/>
                      <a:ext cx="6217920" cy="8232381"/>
                    </a:xfrm>
                    <a:prstGeom prst="rect"/>
                    <a:noFill/>
                    <a:ln>
                      <a:noFill/>
                    </a:ln>
                  </pic:spPr>
                </pic:pic>
              </a:graphicData>
            </a:graphic>
          </wp:inline>
        </w:drawing>
      </w:r>
    </w:p>
    <w:p>
      <w:pPr>
        <w:jc w:val="center"/>
        <w:rPr>
          <w:rFonts w:ascii="Garamond" w:hAnsi="Garamond" w:cs="Arial"/>
          <w:b/>
          <w:sz w:val="40"/>
          <w:szCs w:val="40"/>
        </w:rPr>
      </w:pPr>
      <w:r>
        <w:rPr>
          <w:rFonts w:ascii="Garamond" w:hAnsi="Garamond" w:cs="Arial"/>
          <w:b/>
          <w:color w:val="0070C0"/>
          <w:sz w:val="22"/>
          <w:szCs w:val="40"/>
        </w:rPr>
        <w:t>Figure 16B</w:t>
      </w:r>
      <w:r>
        <w:rPr>
          <w:rFonts w:ascii="Garamond" w:hAnsi="Garamond" w:cs="Arial"/>
          <w:b/>
          <w:sz w:val="22"/>
          <w:szCs w:val="40"/>
        </w:rPr>
        <w:t xml:space="preserve">: </w:t>
      </w:r>
      <w:r>
        <w:rPr>
          <w:rFonts w:ascii="Garamond" w:hAnsi="Garamond" w:cs="Arial"/>
          <w:sz w:val="22"/>
          <w:szCs w:val="40"/>
        </w:rPr>
        <w:t xml:space="preserve"> </w:t>
      </w:r>
      <w:r>
        <w:rPr>
          <w:rFonts w:ascii="Garamond" w:hAnsi="Garamond" w:cs="Arial"/>
          <w:i/>
          <w:sz w:val="22"/>
          <w:szCs w:val="40"/>
        </w:rPr>
        <w:t xml:space="preserve">Raw Plate Counts for </w:t>
      </w:r>
      <w:r>
        <w:rPr>
          <w:rFonts w:ascii="Garamond" w:hAnsi="Garamond" w:cs="Arial"/>
          <w:i/>
          <w:sz w:val="22"/>
          <w:szCs w:val="40"/>
        </w:rPr>
        <w:t>B. subtilis</w:t>
      </w:r>
      <w:r>
        <w:rPr>
          <w:rFonts w:ascii="Garamond" w:hAnsi="Garamond" w:cs="Arial"/>
          <w:sz w:val="22"/>
          <w:szCs w:val="40"/>
        </w:rPr>
        <w:t xml:space="preserve"> </w:t>
      </w:r>
      <w:r>
        <w:rPr>
          <w:rFonts w:ascii="Garamond" w:hAnsi="Garamond" w:cs="Arial"/>
          <w:i/>
          <w:sz w:val="22"/>
          <w:szCs w:val="40"/>
        </w:rPr>
        <w:t>Trial 3</w:t>
      </w:r>
      <w:r>
        <w:rPr>
          <w:rFonts w:ascii="Garamond" w:hAnsi="Garamond" w:cs="Arial"/>
          <w:b/>
          <w:sz w:val="40"/>
          <w:szCs w:val="40"/>
        </w:rPr>
        <w:br w:type="page"/>
      </w:r>
    </w:p>
    <w:p>
      <w:pPr>
        <w:rPr>
          <w:rFonts w:ascii="Arial" w:hAnsi="Arial" w:cs="Arial"/>
          <w:b/>
          <w:sz w:val="40"/>
          <w:szCs w:val="40"/>
        </w:rPr>
      </w:pPr>
      <w:r>
        <w:drawing>
          <wp:inline distT="0" distB="0" distL="0" distR="0">
            <wp:extent cx="6400800" cy="6258560"/>
            <wp:effectExtent l="0" t="0" r="0" b="0"/>
            <wp:docPr id="1072" name="shape1072"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45">
                      <a:extLst>
                        <a:ext uri="{28A0092B-C50C-407E-A947-70E740481C1C}">
                          <a14:useLocalDpi xmlns:a14="http://schemas.microsoft.com/office/drawing/2010/main" val="0"/>
                        </a:ext>
                      </a:extLst>
                    </a:blip>
                    <a:srcRect/>
                    <a:stretch>
                      <a:fillRect/>
                    </a:stretch>
                  </pic:blipFill>
                  <pic:spPr>
                    <a:xfrm>
                      <a:off x="0" y="0"/>
                      <a:ext cx="6400800" cy="6258560"/>
                    </a:xfrm>
                    <a:prstGeom prst="rect"/>
                    <a:noFill/>
                    <a:ln>
                      <a:noFill/>
                    </a:ln>
                  </pic:spPr>
                </pic:pic>
              </a:graphicData>
            </a:graphic>
          </wp:inline>
        </w:drawing>
      </w:r>
    </w:p>
    <w:p>
      <w:pPr>
        <w:jc w:val="center"/>
        <w:rPr>
          <w:rFonts w:ascii="Garamond" w:hAnsi="Garamond" w:cs="Arial"/>
          <w:i/>
          <w:sz w:val="22"/>
          <w:szCs w:val="40"/>
        </w:rPr>
      </w:pPr>
      <w:r>
        <w:rPr>
          <w:rFonts w:ascii="Garamond" w:hAnsi="Garamond" w:cs="Arial"/>
          <w:b/>
          <w:color w:val="0070C0"/>
          <w:sz w:val="22"/>
          <w:szCs w:val="40"/>
        </w:rPr>
        <w:t>Figure 17B</w:t>
      </w:r>
      <w:r>
        <w:rPr>
          <w:rFonts w:ascii="Garamond" w:hAnsi="Garamond" w:cs="Arial"/>
          <w:b/>
          <w:sz w:val="22"/>
          <w:szCs w:val="40"/>
        </w:rPr>
        <w:t xml:space="preserve">: </w:t>
      </w:r>
      <w:r>
        <w:rPr>
          <w:rFonts w:ascii="Garamond" w:hAnsi="Garamond" w:cs="Arial"/>
          <w:sz w:val="22"/>
          <w:szCs w:val="40"/>
        </w:rPr>
        <w:t xml:space="preserve"> </w:t>
      </w:r>
      <w:r>
        <w:rPr>
          <w:rFonts w:ascii="Garamond" w:hAnsi="Garamond" w:cs="Arial"/>
          <w:i/>
          <w:sz w:val="22"/>
          <w:szCs w:val="40"/>
        </w:rPr>
        <w:t xml:space="preserve">Raw Plate Counts </w:t>
      </w:r>
      <w:r>
        <w:rPr>
          <w:rFonts w:ascii="Garamond" w:hAnsi="Garamond" w:cs="Arial"/>
          <w:i/>
          <w:sz w:val="22"/>
          <w:szCs w:val="40"/>
        </w:rPr>
        <w:t xml:space="preserve">for </w:t>
      </w:r>
      <w:r>
        <w:rPr>
          <w:rFonts w:ascii="Garamond" w:hAnsi="Garamond" w:cs="Arial"/>
          <w:i/>
          <w:sz w:val="22"/>
          <w:szCs w:val="40"/>
        </w:rPr>
        <w:t>MS2 Control Trial</w:t>
      </w:r>
    </w:p>
    <w:p>
      <w:pPr>
        <w:jc w:val="center"/>
        <w:rPr>
          <w:rFonts w:ascii="Garamond" w:hAnsi="Garamond" w:cs="Arial"/>
          <w:i/>
          <w:sz w:val="22"/>
          <w:szCs w:val="40"/>
        </w:rPr>
      </w:pPr>
    </w:p>
    <w:p>
      <w:pPr>
        <w:jc w:val="center"/>
        <w:rPr>
          <w:rFonts w:ascii="Garamond" w:hAnsi="Garamond" w:cs="Arial"/>
          <w:b/>
          <w:i/>
          <w:sz w:val="40"/>
          <w:szCs w:val="40"/>
        </w:rPr>
      </w:pPr>
    </w:p>
    <w:p>
      <w:pPr>
        <w:jc w:val="center"/>
        <w:rPr>
          <w:rFonts w:ascii="Arial" w:hAnsi="Arial" w:cs="Arial"/>
          <w:b/>
          <w:sz w:val="40"/>
          <w:szCs w:val="40"/>
        </w:rPr>
      </w:pPr>
      <w:r>
        <w:drawing>
          <wp:inline distT="0" distB="0" distL="0" distR="0">
            <wp:extent cx="6309360" cy="8353445"/>
            <wp:effectExtent l="0" t="0" r="0" b="0"/>
            <wp:docPr id="1073" name="shape1073"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46">
                      <a:extLst>
                        <a:ext uri="{28A0092B-C50C-407E-A947-70E740481C1C}">
                          <a14:useLocalDpi xmlns:a14="http://schemas.microsoft.com/office/drawing/2010/main" val="0"/>
                        </a:ext>
                      </a:extLst>
                    </a:blip>
                    <a:srcRect/>
                    <a:stretch>
                      <a:fillRect/>
                    </a:stretch>
                  </pic:blipFill>
                  <pic:spPr>
                    <a:xfrm>
                      <a:off x="0" y="0"/>
                      <a:ext cx="6309360" cy="8353445"/>
                    </a:xfrm>
                    <a:prstGeom prst="rect"/>
                    <a:noFill/>
                    <a:ln>
                      <a:noFill/>
                    </a:ln>
                  </pic:spPr>
                </pic:pic>
              </a:graphicData>
            </a:graphic>
          </wp:inline>
        </w:drawing>
      </w:r>
    </w:p>
    <w:p>
      <w:pPr>
        <w:jc w:val="center"/>
        <w:rPr>
          <w:rFonts w:ascii="Garamond" w:hAnsi="Garamond" w:cs="Arial"/>
          <w:i/>
          <w:sz w:val="22"/>
          <w:szCs w:val="40"/>
        </w:rPr>
      </w:pPr>
      <w:r>
        <w:rPr>
          <w:rFonts w:ascii="Garamond" w:hAnsi="Garamond" w:cs="Arial"/>
          <w:b/>
          <w:color w:val="0070C0"/>
          <w:sz w:val="22"/>
          <w:szCs w:val="40"/>
        </w:rPr>
        <w:t>Figure 18B</w:t>
      </w:r>
      <w:r>
        <w:rPr>
          <w:rFonts w:ascii="Garamond" w:hAnsi="Garamond" w:cs="Arial"/>
          <w:b/>
          <w:sz w:val="22"/>
          <w:szCs w:val="40"/>
        </w:rPr>
        <w:t xml:space="preserve">: </w:t>
      </w:r>
      <w:r>
        <w:rPr>
          <w:rFonts w:ascii="Garamond" w:hAnsi="Garamond" w:cs="Arial"/>
          <w:i/>
          <w:sz w:val="22"/>
          <w:szCs w:val="40"/>
        </w:rPr>
        <w:t>Raw Plate Counts for</w:t>
      </w:r>
      <w:r>
        <w:rPr>
          <w:rFonts w:ascii="Garamond" w:hAnsi="Garamond" w:cs="Arial"/>
          <w:sz w:val="22"/>
          <w:szCs w:val="40"/>
        </w:rPr>
        <w:t xml:space="preserve"> </w:t>
      </w:r>
      <w:r>
        <w:rPr>
          <w:rFonts w:ascii="Garamond" w:hAnsi="Garamond" w:cs="Arial"/>
          <w:i/>
          <w:sz w:val="22"/>
          <w:szCs w:val="40"/>
        </w:rPr>
        <w:t>MS2 Trial 1</w:t>
      </w:r>
    </w:p>
    <w:p>
      <w:pPr>
        <w:jc w:val="center"/>
        <w:rPr>
          <w:rFonts w:ascii="Arial" w:hAnsi="Arial" w:cs="Arial"/>
          <w:b/>
          <w:sz w:val="40"/>
          <w:szCs w:val="40"/>
        </w:rPr>
      </w:pPr>
      <w:r>
        <w:drawing>
          <wp:inline distT="0" distB="0" distL="0" distR="0">
            <wp:extent cx="6309360" cy="8353445"/>
            <wp:effectExtent l="0" t="0" r="0" b="0"/>
            <wp:docPr id="1074" name="shape1074"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47">
                      <a:extLst>
                        <a:ext uri="{28A0092B-C50C-407E-A947-70E740481C1C}">
                          <a14:useLocalDpi xmlns:a14="http://schemas.microsoft.com/office/drawing/2010/main" val="0"/>
                        </a:ext>
                      </a:extLst>
                    </a:blip>
                    <a:srcRect/>
                    <a:stretch>
                      <a:fillRect/>
                    </a:stretch>
                  </pic:blipFill>
                  <pic:spPr>
                    <a:xfrm>
                      <a:off x="0" y="0"/>
                      <a:ext cx="6309360" cy="8353445"/>
                    </a:xfrm>
                    <a:prstGeom prst="rect"/>
                    <a:noFill/>
                    <a:ln>
                      <a:noFill/>
                    </a:ln>
                  </pic:spPr>
                </pic:pic>
              </a:graphicData>
            </a:graphic>
          </wp:inline>
        </w:drawing>
      </w:r>
    </w:p>
    <w:p>
      <w:pPr>
        <w:jc w:val="center"/>
        <w:rPr>
          <w:rFonts w:ascii="Garamond" w:hAnsi="Garamond" w:cs="Arial"/>
          <w:i/>
          <w:sz w:val="22"/>
          <w:szCs w:val="40"/>
        </w:rPr>
      </w:pPr>
      <w:r>
        <w:rPr>
          <w:rFonts w:ascii="Garamond" w:hAnsi="Garamond" w:cs="Arial"/>
          <w:b/>
          <w:color w:val="0070C0"/>
          <w:sz w:val="22"/>
          <w:szCs w:val="40"/>
        </w:rPr>
        <w:t>Figure 19B</w:t>
      </w:r>
      <w:r>
        <w:rPr>
          <w:rFonts w:ascii="Garamond" w:hAnsi="Garamond" w:cs="Arial"/>
          <w:b/>
          <w:sz w:val="22"/>
          <w:szCs w:val="40"/>
        </w:rPr>
        <w:t xml:space="preserve">: </w:t>
      </w:r>
      <w:r>
        <w:rPr>
          <w:rFonts w:ascii="Garamond" w:hAnsi="Garamond" w:cs="Arial"/>
          <w:sz w:val="22"/>
          <w:szCs w:val="40"/>
        </w:rPr>
        <w:t xml:space="preserve"> </w:t>
      </w:r>
      <w:r>
        <w:rPr>
          <w:rFonts w:ascii="Garamond" w:hAnsi="Garamond" w:cs="Arial"/>
          <w:i/>
          <w:sz w:val="22"/>
          <w:szCs w:val="40"/>
        </w:rPr>
        <w:t xml:space="preserve">Raw Plate Counts for </w:t>
      </w:r>
      <w:r>
        <w:rPr>
          <w:rFonts w:ascii="Garamond" w:hAnsi="Garamond" w:cs="Arial"/>
          <w:i/>
          <w:sz w:val="22"/>
          <w:szCs w:val="40"/>
        </w:rPr>
        <w:t>MS2 Trial 2</w:t>
      </w:r>
    </w:p>
    <w:p>
      <w:pPr>
        <w:jc w:val="center"/>
        <w:rPr>
          <w:rFonts w:ascii="Arial" w:hAnsi="Arial" w:cs="Arial"/>
          <w:b/>
          <w:sz w:val="40"/>
          <w:szCs w:val="40"/>
        </w:rPr>
      </w:pPr>
      <w:r>
        <w:drawing>
          <wp:inline distT="0" distB="0" distL="0" distR="0">
            <wp:extent cx="6309360" cy="8353445"/>
            <wp:effectExtent l="0" t="0" r="0" b="0"/>
            <wp:docPr id="1075" name="shape1075"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48">
                      <a:extLst>
                        <a:ext uri="{28A0092B-C50C-407E-A947-70E740481C1C}">
                          <a14:useLocalDpi xmlns:a14="http://schemas.microsoft.com/office/drawing/2010/main" val="0"/>
                        </a:ext>
                      </a:extLst>
                    </a:blip>
                    <a:srcRect/>
                    <a:stretch>
                      <a:fillRect/>
                    </a:stretch>
                  </pic:blipFill>
                  <pic:spPr>
                    <a:xfrm>
                      <a:off x="0" y="0"/>
                      <a:ext cx="6309360" cy="8353445"/>
                    </a:xfrm>
                    <a:prstGeom prst="rect"/>
                    <a:noFill/>
                    <a:ln>
                      <a:noFill/>
                    </a:ln>
                  </pic:spPr>
                </pic:pic>
              </a:graphicData>
            </a:graphic>
          </wp:inline>
        </w:drawing>
      </w:r>
    </w:p>
    <w:p>
      <w:pPr>
        <w:jc w:val="center"/>
        <w:rPr>
          <w:rFonts w:ascii="Garamond" w:hAnsi="Garamond" w:cs="Arial"/>
          <w:i/>
          <w:sz w:val="22"/>
          <w:szCs w:val="40"/>
        </w:rPr>
      </w:pPr>
      <w:r>
        <w:rPr>
          <w:rFonts w:ascii="Garamond" w:hAnsi="Garamond" w:cs="Arial"/>
          <w:b/>
          <w:color w:val="0070C0"/>
          <w:sz w:val="22"/>
          <w:szCs w:val="40"/>
        </w:rPr>
        <w:t>Figure 20B</w:t>
      </w:r>
      <w:r>
        <w:rPr>
          <w:rFonts w:ascii="Garamond" w:hAnsi="Garamond" w:cs="Arial"/>
          <w:b/>
          <w:sz w:val="22"/>
          <w:szCs w:val="40"/>
        </w:rPr>
        <w:t xml:space="preserve">: </w:t>
      </w:r>
      <w:r>
        <w:rPr>
          <w:rFonts w:ascii="Garamond" w:hAnsi="Garamond" w:cs="Arial"/>
          <w:sz w:val="22"/>
          <w:szCs w:val="40"/>
        </w:rPr>
        <w:t xml:space="preserve"> </w:t>
      </w:r>
      <w:r>
        <w:rPr>
          <w:rFonts w:ascii="Garamond" w:hAnsi="Garamond" w:cs="Arial"/>
          <w:i/>
          <w:sz w:val="22"/>
          <w:szCs w:val="40"/>
        </w:rPr>
        <w:t xml:space="preserve">Raw Plate Counts for </w:t>
      </w:r>
      <w:r>
        <w:rPr>
          <w:rFonts w:ascii="Garamond" w:hAnsi="Garamond" w:cs="Arial"/>
          <w:i/>
          <w:sz w:val="22"/>
          <w:szCs w:val="40"/>
        </w:rPr>
        <w:t>MS2 Trial 3</w:t>
      </w:r>
    </w:p>
    <w:p>
      <w:pPr>
        <w:jc w:val="center"/>
        <w:rPr>
          <w:rFonts w:ascii="Arial" w:hAnsi="Arial" w:cs="Arial"/>
          <w:b/>
          <w:sz w:val="40"/>
          <w:szCs w:val="40"/>
        </w:rPr>
      </w:pPr>
      <w:r>
        <w:drawing>
          <wp:inline distT="0" distB="0" distL="0" distR="0">
            <wp:extent cx="6400800" cy="7386039"/>
            <wp:effectExtent l="0" t="0" r="0" b="0"/>
            <wp:docPr id="1076" name="shape1076"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49">
                      <a:extLst>
                        <a:ext uri="{28A0092B-C50C-407E-A947-70E740481C1C}">
                          <a14:useLocalDpi xmlns:a14="http://schemas.microsoft.com/office/drawing/2010/main" val="0"/>
                        </a:ext>
                      </a:extLst>
                    </a:blip>
                    <a:srcRect/>
                    <a:stretch>
                      <a:fillRect/>
                    </a:stretch>
                  </pic:blipFill>
                  <pic:spPr>
                    <a:xfrm>
                      <a:off x="0" y="0"/>
                      <a:ext cx="6400800" cy="7386039"/>
                    </a:xfrm>
                    <a:prstGeom prst="rect"/>
                    <a:noFill/>
                    <a:ln>
                      <a:noFill/>
                    </a:ln>
                  </pic:spPr>
                </pic:pic>
              </a:graphicData>
            </a:graphic>
          </wp:inline>
        </w:drawing>
      </w:r>
    </w:p>
    <w:p>
      <w:pPr>
        <w:jc w:val="center"/>
        <w:rPr>
          <w:rFonts w:ascii="Garamond" w:hAnsi="Garamond" w:cs="Arial"/>
          <w:b/>
          <w:sz w:val="40"/>
          <w:szCs w:val="40"/>
        </w:rPr>
      </w:pPr>
      <w:r>
        <w:rPr>
          <w:rFonts w:ascii="Garamond" w:hAnsi="Garamond" w:cs="Arial"/>
          <w:b/>
          <w:color w:val="0070C0"/>
          <w:sz w:val="22"/>
          <w:szCs w:val="40"/>
        </w:rPr>
        <w:t>Figure 21B</w:t>
      </w:r>
      <w:r>
        <w:rPr>
          <w:rFonts w:ascii="Garamond" w:hAnsi="Garamond" w:cs="Arial"/>
          <w:b/>
          <w:i/>
          <w:sz w:val="22"/>
          <w:szCs w:val="40"/>
        </w:rPr>
        <w:t xml:space="preserve">: </w:t>
      </w:r>
      <w:r>
        <w:rPr>
          <w:rFonts w:ascii="Garamond" w:hAnsi="Garamond" w:cs="Arial"/>
          <w:i/>
          <w:sz w:val="22"/>
          <w:szCs w:val="40"/>
        </w:rPr>
        <w:t>Raw Plate Counts for</w:t>
      </w:r>
      <w:r>
        <w:rPr>
          <w:rFonts w:ascii="Garamond" w:hAnsi="Garamond" w:cs="Arial"/>
          <w:i/>
          <w:sz w:val="22"/>
          <w:szCs w:val="40"/>
        </w:rPr>
        <w:t xml:space="preserve"> </w:t>
      </w:r>
      <w:r>
        <w:rPr>
          <w:rFonts w:ascii="Garamond" w:hAnsi="Garamond" w:cs="Arial"/>
          <w:i/>
          <w:sz w:val="22"/>
          <w:szCs w:val="40"/>
        </w:rPr>
        <w:t>Phi X Control</w:t>
      </w:r>
    </w:p>
    <w:p>
      <w:pPr>
        <w:rPr>
          <w:rFonts w:ascii="Arial" w:hAnsi="Arial" w:cs="Arial"/>
          <w:b/>
          <w:sz w:val="40"/>
          <w:szCs w:val="40"/>
        </w:rPr>
      </w:pPr>
    </w:p>
    <w:p>
      <w:pPr>
        <w:jc w:val="center"/>
        <w:rPr>
          <w:rFonts w:ascii="Arial" w:hAnsi="Arial" w:cs="Arial"/>
          <w:b/>
          <w:sz w:val="40"/>
          <w:szCs w:val="40"/>
        </w:rPr>
      </w:pPr>
      <w:r>
        <w:drawing>
          <wp:inline distT="0" distB="0" distL="0" distR="0">
            <wp:extent cx="6309360" cy="8353445"/>
            <wp:effectExtent l="0" t="0" r="0" b="0"/>
            <wp:docPr id="1077" name="shape1077"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50">
                      <a:extLst>
                        <a:ext uri="{28A0092B-C50C-407E-A947-70E740481C1C}">
                          <a14:useLocalDpi xmlns:a14="http://schemas.microsoft.com/office/drawing/2010/main" val="0"/>
                        </a:ext>
                      </a:extLst>
                    </a:blip>
                    <a:srcRect/>
                    <a:stretch>
                      <a:fillRect/>
                    </a:stretch>
                  </pic:blipFill>
                  <pic:spPr>
                    <a:xfrm>
                      <a:off x="0" y="0"/>
                      <a:ext cx="6309360" cy="8353445"/>
                    </a:xfrm>
                    <a:prstGeom prst="rect"/>
                    <a:noFill/>
                    <a:ln>
                      <a:noFill/>
                    </a:ln>
                  </pic:spPr>
                </pic:pic>
              </a:graphicData>
            </a:graphic>
          </wp:inline>
        </w:drawing>
      </w:r>
    </w:p>
    <w:p>
      <w:pPr>
        <w:jc w:val="center"/>
        <w:rPr>
          <w:rFonts w:ascii="Garamond" w:hAnsi="Garamond" w:cs="Arial"/>
          <w:b/>
          <w:i/>
          <w:sz w:val="40"/>
          <w:szCs w:val="40"/>
        </w:rPr>
      </w:pPr>
      <w:r>
        <w:rPr>
          <w:rFonts w:ascii="Garamond" w:hAnsi="Garamond" w:cs="Arial"/>
          <w:b/>
          <w:color w:val="0070C0"/>
          <w:sz w:val="22"/>
          <w:szCs w:val="40"/>
        </w:rPr>
        <w:t>Figure 22B</w:t>
      </w:r>
      <w:r>
        <w:rPr>
          <w:rFonts w:ascii="Garamond" w:hAnsi="Garamond" w:cs="Arial"/>
          <w:b/>
          <w:sz w:val="22"/>
          <w:szCs w:val="40"/>
        </w:rPr>
        <w:t xml:space="preserve">: </w:t>
      </w:r>
      <w:r>
        <w:rPr>
          <w:rFonts w:ascii="Garamond" w:hAnsi="Garamond" w:cs="Arial"/>
          <w:i/>
          <w:sz w:val="22"/>
          <w:szCs w:val="40"/>
        </w:rPr>
        <w:t>Raw Plate Counts for</w:t>
      </w:r>
      <w:r>
        <w:rPr>
          <w:rFonts w:ascii="Garamond" w:hAnsi="Garamond" w:cs="Arial"/>
          <w:sz w:val="22"/>
          <w:szCs w:val="40"/>
        </w:rPr>
        <w:t xml:space="preserve"> </w:t>
      </w:r>
      <w:r>
        <w:rPr>
          <w:rFonts w:ascii="Garamond" w:hAnsi="Garamond" w:cs="Arial"/>
          <w:i/>
          <w:sz w:val="22"/>
          <w:szCs w:val="40"/>
        </w:rPr>
        <w:t>Phi X Trial 1</w:t>
      </w:r>
    </w:p>
    <w:p>
      <w:pPr>
        <w:jc w:val="center"/>
        <w:rPr>
          <w:rFonts w:ascii="Arial" w:hAnsi="Arial" w:cs="Arial"/>
          <w:b/>
          <w:sz w:val="40"/>
          <w:szCs w:val="40"/>
        </w:rPr>
      </w:pPr>
      <w:r>
        <w:drawing>
          <wp:inline distT="0" distB="0" distL="0" distR="0">
            <wp:extent cx="6217920" cy="8232381"/>
            <wp:effectExtent l="0" t="0" r="0" b="0"/>
            <wp:docPr id="1078" name="shape1078"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51">
                      <a:extLst>
                        <a:ext uri="{28A0092B-C50C-407E-A947-70E740481C1C}">
                          <a14:useLocalDpi xmlns:a14="http://schemas.microsoft.com/office/drawing/2010/main" val="0"/>
                        </a:ext>
                      </a:extLst>
                    </a:blip>
                    <a:srcRect/>
                    <a:stretch>
                      <a:fillRect/>
                    </a:stretch>
                  </pic:blipFill>
                  <pic:spPr>
                    <a:xfrm>
                      <a:off x="0" y="0"/>
                      <a:ext cx="6217920" cy="8232381"/>
                    </a:xfrm>
                    <a:prstGeom prst="rect"/>
                    <a:noFill/>
                    <a:ln>
                      <a:noFill/>
                    </a:ln>
                  </pic:spPr>
                </pic:pic>
              </a:graphicData>
            </a:graphic>
          </wp:inline>
        </w:drawing>
      </w:r>
    </w:p>
    <w:p>
      <w:pPr>
        <w:jc w:val="center"/>
        <w:rPr>
          <w:rFonts w:ascii="Garamond" w:hAnsi="Garamond" w:cs="Arial"/>
          <w:b/>
          <w:sz w:val="40"/>
          <w:szCs w:val="40"/>
        </w:rPr>
      </w:pPr>
      <w:r>
        <w:rPr>
          <w:rFonts w:ascii="Garamond" w:hAnsi="Garamond" w:cs="Arial"/>
          <w:b/>
          <w:color w:val="0070C0"/>
          <w:sz w:val="22"/>
          <w:szCs w:val="40"/>
        </w:rPr>
        <w:t>Figure 23B</w:t>
      </w:r>
      <w:r>
        <w:rPr>
          <w:rFonts w:ascii="Garamond" w:hAnsi="Garamond" w:cs="Arial"/>
          <w:b/>
          <w:sz w:val="22"/>
          <w:szCs w:val="40"/>
        </w:rPr>
        <w:t xml:space="preserve">: </w:t>
      </w:r>
      <w:r>
        <w:rPr>
          <w:rFonts w:ascii="Garamond" w:hAnsi="Garamond" w:cs="Arial"/>
          <w:i/>
          <w:sz w:val="22"/>
          <w:szCs w:val="40"/>
        </w:rPr>
        <w:t>Raw Plate Counts for</w:t>
      </w:r>
      <w:r>
        <w:rPr>
          <w:rFonts w:ascii="Garamond" w:hAnsi="Garamond" w:cs="Arial"/>
          <w:sz w:val="22"/>
          <w:szCs w:val="40"/>
        </w:rPr>
        <w:t xml:space="preserve"> </w:t>
      </w:r>
      <w:r>
        <w:rPr>
          <w:rFonts w:ascii="Garamond" w:hAnsi="Garamond" w:cs="Arial"/>
          <w:i/>
          <w:sz w:val="22"/>
          <w:szCs w:val="40"/>
        </w:rPr>
        <w:t>Phi X Trial 2</w:t>
      </w:r>
    </w:p>
    <w:p>
      <w:pPr>
        <w:rPr>
          <w:rFonts w:ascii="Arial" w:hAnsi="Arial" w:cs="Arial"/>
          <w:b/>
          <w:sz w:val="40"/>
          <w:szCs w:val="40"/>
        </w:rPr>
      </w:pPr>
      <w:r>
        <w:drawing>
          <wp:inline distT="0" distB="0" distL="0" distR="0">
            <wp:extent cx="6309360" cy="8353445"/>
            <wp:effectExtent l="0" t="0" r="0" b="0"/>
            <wp:docPr id="1079" name="shape1079"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52">
                      <a:extLst>
                        <a:ext uri="{28A0092B-C50C-407E-A947-70E740481C1C}">
                          <a14:useLocalDpi xmlns:a14="http://schemas.microsoft.com/office/drawing/2010/main" val="0"/>
                        </a:ext>
                      </a:extLst>
                    </a:blip>
                    <a:srcRect/>
                    <a:stretch>
                      <a:fillRect/>
                    </a:stretch>
                  </pic:blipFill>
                  <pic:spPr>
                    <a:xfrm>
                      <a:off x="0" y="0"/>
                      <a:ext cx="6309360" cy="8353445"/>
                    </a:xfrm>
                    <a:prstGeom prst="rect"/>
                    <a:noFill/>
                    <a:ln>
                      <a:noFill/>
                    </a:ln>
                  </pic:spPr>
                </pic:pic>
              </a:graphicData>
            </a:graphic>
          </wp:inline>
        </w:drawing>
      </w:r>
    </w:p>
    <w:p>
      <w:pPr>
        <w:jc w:val="center"/>
        <w:rPr>
          <w:rFonts w:ascii="Garamond" w:hAnsi="Garamond" w:cs="Arial"/>
          <w:b/>
          <w:sz w:val="40"/>
          <w:szCs w:val="40"/>
        </w:rPr>
      </w:pPr>
      <w:r>
        <w:rPr>
          <w:rFonts w:ascii="Garamond" w:hAnsi="Garamond" w:cs="Arial"/>
          <w:b/>
          <w:color w:val="0070C0"/>
          <w:sz w:val="22"/>
          <w:szCs w:val="40"/>
        </w:rPr>
        <w:t>Figure 24B</w:t>
      </w:r>
      <w:r>
        <w:rPr>
          <w:rFonts w:ascii="Garamond" w:hAnsi="Garamond" w:cs="Arial"/>
          <w:b/>
          <w:i/>
          <w:sz w:val="22"/>
          <w:szCs w:val="40"/>
        </w:rPr>
        <w:t xml:space="preserve">: </w:t>
      </w:r>
      <w:r>
        <w:rPr>
          <w:rFonts w:ascii="Garamond" w:hAnsi="Garamond" w:cs="Arial"/>
          <w:i/>
          <w:sz w:val="22"/>
          <w:szCs w:val="40"/>
        </w:rPr>
        <w:t>Raw Plate Counts for</w:t>
      </w:r>
      <w:r>
        <w:rPr>
          <w:rFonts w:ascii="Garamond" w:hAnsi="Garamond" w:cs="Arial"/>
          <w:i/>
          <w:sz w:val="22"/>
          <w:szCs w:val="40"/>
        </w:rPr>
        <w:t xml:space="preserve"> </w:t>
      </w:r>
      <w:r>
        <w:rPr>
          <w:rFonts w:ascii="Garamond" w:hAnsi="Garamond" w:cs="Arial"/>
          <w:i/>
          <w:sz w:val="22"/>
          <w:szCs w:val="40"/>
        </w:rPr>
        <w:t>Phi X Trial 3</w:t>
      </w:r>
    </w:p>
    <w:p>
      <w:pPr>
        <w:rPr>
          <w:rFonts w:ascii="Arial" w:hAnsi="Arial" w:cs="Arial"/>
          <w:b/>
          <w:sz w:val="40"/>
          <w:szCs w:val="40"/>
        </w:rPr>
      </w:pPr>
      <w:r>
        <w:rPr>
          <w:rFonts w:ascii="Arial" w:hAnsi="Arial" w:cs="Arial"/>
          <w:b/>
          <w:sz w:val="40"/>
          <w:szCs w:val="40"/>
        </w:rPr>
        <w:t>Appendix</w:t>
      </w:r>
      <w:r>
        <w:rPr>
          <w:rFonts w:ascii="Arial" w:hAnsi="Arial" w:cs="Arial"/>
          <w:b/>
          <w:sz w:val="40"/>
          <w:szCs w:val="40"/>
        </w:rPr>
        <w:t xml:space="preserve"> </w:t>
      </w:r>
      <w:r>
        <w:rPr>
          <w:rFonts w:ascii="Arial" w:hAnsi="Arial" w:cs="Arial"/>
          <w:b/>
          <w:sz w:val="40"/>
          <w:szCs w:val="40"/>
        </w:rPr>
        <w:t>C</w:t>
      </w:r>
      <w:r>
        <w:rPr>
          <w:rFonts w:ascii="Arial" w:hAnsi="Arial" w:cs="Arial"/>
          <w:b/>
          <w:sz w:val="40"/>
          <w:szCs w:val="40"/>
        </w:rPr>
        <w:t>:  Calculations</w:t>
      </w:r>
    </w:p>
    <w:p>
      <w:pPr>
        <w:rPr>
          <w:rFonts w:ascii="Arial" w:hAnsi="Arial" w:cs="Arial"/>
          <w:b/>
          <w:sz w:val="32"/>
          <w:szCs w:val="40"/>
        </w:rPr>
      </w:pPr>
    </w:p>
    <w:p>
      <w:pPr>
        <w:rPr>
          <w:rFonts w:ascii="Arial" w:hAnsi="Arial" w:cs="Arial"/>
          <w:b/>
          <w:sz w:val="32"/>
          <w:szCs w:val="40"/>
        </w:rPr>
      </w:pPr>
      <w:r>
        <w:t>To evaluate the viable aerosol delivery efficiency and define operation parameters of the system, calculations based on (theoretical) 100% efficacy of aerosol dissemination were derived using the following steps:</w:t>
      </w:r>
    </w:p>
    <w:p>
      <w:pPr>
        <w:pStyle w:val="datafield11pt"/>
        <w:spacing w:line="240" w:lineRule="auto"/>
        <w:rPr>
          <w:rFonts w:ascii="Times New Roman" w:hAnsi="Times New Roman" w:cs="Times New Roman"/>
          <w:sz w:val="24"/>
          <w:szCs w:val="24"/>
        </w:rPr>
      </w:pPr>
    </w:p>
    <w:p>
      <w:pPr>
        <w:pStyle w:val="datafield11pt"/>
        <w:ind w:left="1440"/>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 xml:space="preserve">Plating and enumeration of the </w:t>
      </w:r>
      <w:r>
        <w:rPr>
          <w:rFonts w:ascii="Times New Roman" w:hAnsi="Times New Roman" w:cs="Times New Roman"/>
          <w:sz w:val="24"/>
          <w:szCs w:val="24"/>
        </w:rPr>
        <w:t>bio</w:t>
      </w:r>
      <w:r>
        <w:rPr>
          <w:rFonts w:ascii="Times New Roman" w:hAnsi="Times New Roman" w:cs="Times New Roman"/>
          <w:sz w:val="24"/>
          <w:szCs w:val="24"/>
        </w:rPr>
        <w:t>log</w:t>
      </w:r>
      <w:r>
        <w:rPr>
          <w:rFonts w:ascii="Times New Roman" w:hAnsi="Times New Roman" w:cs="Times New Roman"/>
          <w:sz w:val="24"/>
          <w:szCs w:val="24"/>
        </w:rPr>
        <w:t>ical</w:t>
      </w:r>
      <w:r>
        <w:rPr>
          <w:rFonts w:ascii="Times New Roman" w:hAnsi="Times New Roman" w:cs="Times New Roman"/>
          <w:sz w:val="24"/>
          <w:szCs w:val="24"/>
        </w:rPr>
        <w:t xml:space="preserve"> to derive the concentration of the stock suspension (</w:t>
      </w:r>
      <w:r>
        <w:rPr>
          <w:rFonts w:ascii="Times New Roman" w:hAnsi="Times New Roman" w:cs="Times New Roman"/>
          <w:i/>
          <w:iCs/>
          <w:sz w:val="24"/>
          <w:szCs w:val="24"/>
        </w:rPr>
        <w:t>C</w:t>
      </w:r>
      <w:r>
        <w:rPr>
          <w:rFonts w:ascii="Times New Roman" w:hAnsi="Times New Roman" w:cs="Times New Roman"/>
          <w:i/>
          <w:iCs/>
          <w:sz w:val="24"/>
          <w:szCs w:val="24"/>
          <w:vertAlign w:val="subscript"/>
        </w:rPr>
        <w:t>s</w:t>
      </w:r>
      <w:r>
        <w:rPr>
          <w:rFonts w:ascii="Times New Roman" w:hAnsi="Times New Roman" w:cs="Times New Roman"/>
          <w:sz w:val="24"/>
          <w:szCs w:val="24"/>
        </w:rPr>
        <w:t>) in pfu/mL or cfu/mL</w:t>
      </w:r>
      <w:r>
        <w:rPr>
          <w:rFonts w:ascii="Times New Roman" w:hAnsi="Times New Roman" w:cs="Times New Roman"/>
          <w:sz w:val="24"/>
          <w:szCs w:val="24"/>
        </w:rPr>
        <w:t>, or cfu/g</w:t>
      </w:r>
      <w:r>
        <w:rPr>
          <w:rFonts w:ascii="Times New Roman" w:hAnsi="Times New Roman" w:cs="Times New Roman"/>
          <w:sz w:val="24"/>
          <w:szCs w:val="24"/>
        </w:rPr>
        <w:t xml:space="preserve"> for dry powder</w:t>
      </w:r>
      <w:r>
        <w:rPr>
          <w:rFonts w:ascii="Times New Roman" w:hAnsi="Times New Roman" w:cs="Times New Roman"/>
          <w:sz w:val="24"/>
          <w:szCs w:val="24"/>
        </w:rPr>
        <w:t>.</w:t>
      </w:r>
    </w:p>
    <w:p>
      <w:pPr>
        <w:pStyle w:val="datafield11pt"/>
        <w:ind w:left="1440"/>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Collison 24 jet nebulizer use rate (</w:t>
      </w:r>
      <w:r>
        <w:rPr>
          <w:rFonts w:ascii="Times New Roman" w:hAnsi="Times New Roman" w:cs="Times New Roman"/>
          <w:i/>
          <w:sz w:val="24"/>
          <w:szCs w:val="24"/>
        </w:rPr>
        <w:t>R</w:t>
      </w:r>
      <w:r>
        <w:rPr>
          <w:rFonts w:ascii="Times New Roman" w:hAnsi="Times New Roman" w:cs="Times New Roman"/>
          <w:i/>
          <w:sz w:val="24"/>
          <w:szCs w:val="24"/>
          <w:vertAlign w:val="subscript"/>
        </w:rPr>
        <w:t>neb</w:t>
      </w:r>
      <w:r>
        <w:rPr>
          <w:rFonts w:ascii="Times New Roman" w:hAnsi="Times New Roman" w:cs="Times New Roman"/>
          <w:sz w:val="24"/>
          <w:szCs w:val="24"/>
        </w:rPr>
        <w:t>) (volume of liquid generated by the nebulizer/time) at 28 psi air supp</w:t>
      </w:r>
      <w:r>
        <w:rPr>
          <w:rFonts w:ascii="Times New Roman" w:hAnsi="Times New Roman" w:cs="Times New Roman"/>
          <w:sz w:val="24"/>
          <w:szCs w:val="24"/>
        </w:rPr>
        <w:t>ly pressure = 1.0 mL</w:t>
      </w:r>
      <w:r>
        <w:rPr>
          <w:rFonts w:ascii="Times New Roman" w:hAnsi="Times New Roman" w:cs="Times New Roman"/>
          <w:sz w:val="24"/>
          <w:szCs w:val="24"/>
        </w:rPr>
        <w:t>/min.</w:t>
      </w:r>
    </w:p>
    <w:p>
      <w:pPr>
        <w:pStyle w:val="datafield11pt"/>
        <w:ind w:left="1440"/>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Collison 24 jet Generation time (</w:t>
      </w:r>
      <w:r>
        <w:rPr>
          <w:rFonts w:ascii="Times New Roman" w:hAnsi="Times New Roman" w:cs="Times New Roman"/>
          <w:i/>
          <w:iCs/>
          <w:sz w:val="28"/>
          <w:szCs w:val="28"/>
        </w:rPr>
        <w:t>t</w:t>
      </w:r>
      <w:r>
        <w:rPr>
          <w:rFonts w:ascii="Times New Roman" w:hAnsi="Times New Roman" w:cs="Times New Roman"/>
          <w:iCs/>
          <w:sz w:val="28"/>
          <w:szCs w:val="28"/>
        </w:rPr>
        <w:t>)</w:t>
      </w:r>
      <w:r>
        <w:rPr>
          <w:rFonts w:ascii="Times New Roman" w:hAnsi="Times New Roman" w:cs="Times New Roman"/>
          <w:sz w:val="24"/>
          <w:szCs w:val="24"/>
        </w:rPr>
        <w:t xml:space="preserve"> = 20 or 30 minutes, test dependent.</w:t>
      </w:r>
    </w:p>
    <w:p>
      <w:pPr>
        <w:pStyle w:val="datafield11pt"/>
        <w:ind w:left="1440"/>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Chamber volume (</w:t>
      </w:r>
      <w:r>
        <w:rPr>
          <w:rFonts w:ascii="Times New Roman" w:hAnsi="Times New Roman" w:cs="Times New Roman"/>
          <w:i/>
          <w:sz w:val="24"/>
          <w:szCs w:val="24"/>
        </w:rPr>
        <w:t>V</w:t>
      </w:r>
      <w:r>
        <w:rPr>
          <w:rFonts w:ascii="Times New Roman" w:hAnsi="Times New Roman" w:cs="Times New Roman"/>
          <w:i/>
          <w:sz w:val="24"/>
          <w:szCs w:val="24"/>
          <w:vertAlign w:val="subscript"/>
        </w:rPr>
        <w:t xml:space="preserve">c </w:t>
      </w:r>
      <w:r>
        <w:rPr>
          <w:rFonts w:ascii="Times New Roman" w:hAnsi="Times New Roman" w:cs="Times New Roman"/>
          <w:sz w:val="24"/>
          <w:szCs w:val="24"/>
        </w:rPr>
        <w:t>) = 15,993 Liters</w:t>
      </w:r>
    </w:p>
    <w:p>
      <w:pPr>
        <w:ind w:left="360"/>
        <w:spacing w:after="100" w:afterAutospacing="1" w:before="100" w:beforeAutospacing="1"/>
      </w:pPr>
      <w:r>
        <w:t>Assuming 100% efficiency, the quantity of aerosolized viable particles (</w:t>
      </w:r>
      <w:r>
        <w:rPr>
          <w:i/>
        </w:rPr>
        <w:t>V</w:t>
      </w:r>
      <w:r>
        <w:rPr>
          <w:i/>
          <w:vertAlign w:val="subscript"/>
        </w:rPr>
        <w:t>P</w:t>
      </w:r>
      <w:r>
        <w:t xml:space="preserve">) per liter of air in the chamber for a given </w:t>
      </w:r>
      <w:r>
        <w:t xml:space="preserve">nebulizer </w:t>
      </w:r>
      <w:r>
        <w:t>stock concentration (</w:t>
      </w:r>
      <w:r>
        <w:rPr>
          <w:i/>
          <w:iCs/>
        </w:rPr>
        <w:t>C</w:t>
      </w:r>
      <w:r>
        <w:rPr>
          <w:i/>
          <w:iCs/>
          <w:vertAlign w:val="subscript"/>
        </w:rPr>
        <w:t>s</w:t>
      </w:r>
      <w:r>
        <w:t xml:space="preserve">) is calculated as: </w:t>
      </w:r>
    </w:p>
    <w:p>
      <w:pPr>
        <w:ind w:left="2880"/>
        <w:spacing w:after="100" w:afterAutospacing="1" w:before="100" w:beforeAutospacing="1"/>
      </w:pPr>
      <w:r>
        <w:t xml:space="preserve">Nebulizer: </w:t>
      </w:r>
      <w:r>
        <w:rPr>
          <w:position w:val="-30"/>
        </w:rPr>
        <w:object>
          <v:shapetype coordsize="21600, 21600" path="m0,0l21600,0,21600,21600,0,21600xe"/>
          <v:shape id="1080" o:spt="75" style="margin-left:0pt;margin-top:0pt;width:79.5pt;height:36pt;mso-position-horizontal-relative:column;mso-position-vertical-relative:line;z-index:0" coordsize="21600, 21600" o:allowincell="t" filled="f" stroked="f" o:ole="">
            <v:imagedata r:id="rId53" o:title=""/>
          </v:shape>
          <o:OLEObject Type="Embed" ProgID="Equation.3" ShapeID="1080" DrawAspect="Content" ObjectID="_1080" r:id="rId54"/>
        </w:object>
      </w:r>
      <w:r>
        <w:t xml:space="preserve">   </w:t>
      </w:r>
    </w:p>
    <w:p>
      <w:pPr>
        <w:spacing w:after="100" w:afterAutospacing="1" w:before="100" w:beforeAutospacing="1"/>
      </w:pPr>
      <w:r>
        <w:t xml:space="preserve">Plating and enumeration of the </w:t>
      </w:r>
      <w:r>
        <w:t>bio</w:t>
      </w:r>
      <w:r>
        <w:t>log</w:t>
      </w:r>
      <w:r>
        <w:t>ical</w:t>
      </w:r>
      <w:r>
        <w:t xml:space="preserve"> to derive the concentration of the </w:t>
      </w:r>
      <w:r>
        <w:t>dry powder</w:t>
      </w:r>
      <w:r>
        <w:t xml:space="preserve"> (</w:t>
      </w:r>
      <w:r>
        <w:rPr>
          <w:i/>
          <w:iCs/>
        </w:rPr>
        <w:t>C</w:t>
      </w:r>
      <w:r>
        <w:rPr>
          <w:i/>
          <w:iCs/>
          <w:vertAlign w:val="subscript"/>
        </w:rPr>
        <w:t>p</w:t>
      </w:r>
      <w:r>
        <w:rPr>
          <w:iCs/>
        </w:rPr>
        <w:t>)</w:t>
      </w:r>
      <w:r>
        <w:t xml:space="preserve"> in cfu/</w:t>
      </w:r>
      <w:r>
        <w:t>g</w:t>
      </w:r>
      <w:r>
        <w:t>.</w:t>
      </w:r>
    </w:p>
    <w:p>
      <w:pPr>
        <w:pStyle w:val="datafield11pt"/>
        <w:ind w:left="1440"/>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 xml:space="preserve">Eductor </w:t>
      </w:r>
      <w:r>
        <w:rPr>
          <w:rFonts w:ascii="Times New Roman" w:hAnsi="Times New Roman" w:cs="Times New Roman"/>
          <w:sz w:val="24"/>
          <w:szCs w:val="24"/>
        </w:rPr>
        <w:t>use rate (</w:t>
      </w:r>
      <w:r>
        <w:rPr>
          <w:rFonts w:ascii="Times New Roman" w:hAnsi="Times New Roman" w:cs="Times New Roman"/>
          <w:i/>
          <w:sz w:val="24"/>
          <w:szCs w:val="24"/>
        </w:rPr>
        <w:t xml:space="preserve">M </w:t>
      </w:r>
      <w:r>
        <w:rPr>
          <w:rFonts w:ascii="Times New Roman" w:hAnsi="Times New Roman" w:cs="Times New Roman"/>
          <w:i/>
          <w:sz w:val="24"/>
          <w:szCs w:val="24"/>
          <w:vertAlign w:val="subscript"/>
        </w:rPr>
        <w:t>p</w:t>
      </w:r>
      <w:r>
        <w:rPr>
          <w:rFonts w:ascii="Times New Roman" w:hAnsi="Times New Roman" w:cs="Times New Roman"/>
          <w:sz w:val="24"/>
          <w:szCs w:val="24"/>
        </w:rPr>
        <w:t>) (</w:t>
      </w:r>
      <w:r>
        <w:rPr>
          <w:rFonts w:ascii="Times New Roman" w:hAnsi="Times New Roman" w:cs="Times New Roman"/>
          <w:sz w:val="24"/>
          <w:szCs w:val="24"/>
        </w:rPr>
        <w:t>Mass</w:t>
      </w:r>
      <w:r>
        <w:rPr>
          <w:rFonts w:ascii="Times New Roman" w:hAnsi="Times New Roman" w:cs="Times New Roman"/>
          <w:sz w:val="24"/>
          <w:szCs w:val="24"/>
        </w:rPr>
        <w:t xml:space="preserve"> of </w:t>
      </w:r>
      <w:r>
        <w:rPr>
          <w:rFonts w:ascii="Times New Roman" w:hAnsi="Times New Roman" w:cs="Times New Roman"/>
          <w:sz w:val="24"/>
          <w:szCs w:val="24"/>
        </w:rPr>
        <w:t>powder</w:t>
      </w:r>
      <w:r>
        <w:rPr>
          <w:rFonts w:ascii="Times New Roman" w:hAnsi="Times New Roman" w:cs="Times New Roman"/>
          <w:sz w:val="24"/>
          <w:szCs w:val="24"/>
        </w:rPr>
        <w:t xml:space="preserve"> generated by the </w:t>
      </w:r>
      <w:r>
        <w:rPr>
          <w:rFonts w:ascii="Times New Roman" w:hAnsi="Times New Roman" w:cs="Times New Roman"/>
          <w:sz w:val="24"/>
          <w:szCs w:val="24"/>
        </w:rPr>
        <w:t>eductor</w:t>
      </w:r>
      <w:r>
        <w:rPr>
          <w:rFonts w:ascii="Times New Roman" w:hAnsi="Times New Roman" w:cs="Times New Roman"/>
          <w:sz w:val="24"/>
          <w:szCs w:val="24"/>
        </w:rPr>
        <w:t xml:space="preserve"> in grams</w:t>
      </w:r>
      <w:r>
        <w:rPr>
          <w:rFonts w:ascii="Times New Roman" w:hAnsi="Times New Roman" w:cs="Times New Roman"/>
          <w:sz w:val="24"/>
          <w:szCs w:val="24"/>
        </w:rPr>
        <w:t>)</w:t>
      </w:r>
      <w:r>
        <w:rPr>
          <w:rFonts w:ascii="Times New Roman" w:hAnsi="Times New Roman" w:cs="Times New Roman"/>
          <w:sz w:val="24"/>
          <w:szCs w:val="24"/>
        </w:rPr>
        <w:t xml:space="preserve"> </w:t>
      </w:r>
    </w:p>
    <w:p>
      <w:pPr>
        <w:pStyle w:val="datafield11pt"/>
        <w:ind w:left="1440"/>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Chamber volume (</w:t>
      </w:r>
      <w:r>
        <w:rPr>
          <w:rFonts w:ascii="Times New Roman" w:hAnsi="Times New Roman" w:cs="Times New Roman"/>
          <w:i/>
          <w:sz w:val="24"/>
          <w:szCs w:val="24"/>
        </w:rPr>
        <w:t>V</w:t>
      </w:r>
      <w:r>
        <w:rPr>
          <w:rFonts w:ascii="Times New Roman" w:hAnsi="Times New Roman" w:cs="Times New Roman"/>
          <w:i/>
          <w:sz w:val="24"/>
          <w:szCs w:val="24"/>
          <w:vertAlign w:val="subscript"/>
        </w:rPr>
        <w:t>c</w:t>
      </w:r>
      <w:r>
        <w:rPr>
          <w:rFonts w:ascii="Times New Roman" w:hAnsi="Times New Roman" w:cs="Times New Roman"/>
          <w:sz w:val="24"/>
          <w:szCs w:val="24"/>
          <w:vertAlign w:val="subscript"/>
        </w:rPr>
        <w:t xml:space="preserve"> </w:t>
      </w:r>
      <w:r>
        <w:rPr>
          <w:rFonts w:ascii="Times New Roman" w:hAnsi="Times New Roman" w:cs="Times New Roman"/>
          <w:sz w:val="24"/>
          <w:szCs w:val="24"/>
        </w:rPr>
        <w:t>) = 15,993 Liters</w:t>
      </w:r>
    </w:p>
    <w:p>
      <w:pPr>
        <w:ind w:left="360"/>
        <w:spacing w:after="100" w:afterAutospacing="1" w:before="100" w:beforeAutospacing="1"/>
      </w:pPr>
      <w:r>
        <w:t>Assuming 100% efficiency, the quantity of aerosolized viable particles (</w:t>
      </w:r>
      <w:r>
        <w:rPr>
          <w:i/>
        </w:rPr>
        <w:t>V</w:t>
      </w:r>
      <w:r>
        <w:rPr>
          <w:i/>
          <w:vertAlign w:val="subscript"/>
        </w:rPr>
        <w:t>P</w:t>
      </w:r>
      <w:r>
        <w:t xml:space="preserve">) per liter of air in the chamber for a given </w:t>
      </w:r>
      <w:r>
        <w:t xml:space="preserve">dry powder </w:t>
      </w:r>
      <w:r>
        <w:t>stock concentration (</w:t>
      </w:r>
      <w:r>
        <w:rPr>
          <w:i/>
          <w:iCs/>
        </w:rPr>
        <w:t>C</w:t>
      </w:r>
      <w:r>
        <w:rPr>
          <w:i/>
          <w:iCs/>
          <w:vertAlign w:val="subscript"/>
        </w:rPr>
        <w:t>p</w:t>
      </w:r>
      <w:r>
        <w:t xml:space="preserve">) is calculated as: </w:t>
      </w:r>
    </w:p>
    <w:p>
      <w:pPr>
        <w:ind w:left="2880"/>
        <w:spacing w:after="100" w:afterAutospacing="1" w:before="100" w:beforeAutospacing="1"/>
        <w:rPr>
          <w:sz w:val="28"/>
          <w:szCs w:val="28"/>
        </w:rPr>
      </w:pPr>
      <w:r>
        <w:rPr>
          <w:sz w:val="28"/>
          <w:szCs w:val="28"/>
        </w:rPr>
        <w:t xml:space="preserve">Eductor: </w:t>
      </w:r>
      <w:r>
        <w:rPr>
          <w:sz w:val="28"/>
          <w:szCs w:val="28"/>
          <w:position w:val="-30"/>
        </w:rPr>
        <w:object>
          <v:shapetype coordsize="21600, 21600" path="m0,0l21600,0,21600,21600,0,21600xe"/>
          <v:shape id="1081" o:spt="75" style="margin-left:0pt;margin-top:0pt;width:63.75pt;height:36pt;mso-position-horizontal-relative:column;mso-position-vertical-relative:line;z-index:0" coordsize="21600, 21600" o:allowincell="t" filled="f" stroked="f" o:ole="">
            <v:imagedata r:id="rId55" o:title=""/>
          </v:shape>
          <o:OLEObject Type="Embed" ProgID="Equation.3" ShapeID="1081" DrawAspect="Content" ObjectID="_1081" r:id="rId56"/>
        </w:object>
      </w:r>
    </w:p>
    <w:p>
      <w:pPr>
        <w:spacing w:after="100" w:afterAutospacing="1" w:before="100" w:beforeAutospacing="1"/>
      </w:pPr>
      <w:r>
        <w:t xml:space="preserve">AGI – 30 impinger </w:t>
      </w:r>
      <w:r>
        <w:t xml:space="preserve">or 47mm filter </w:t>
      </w:r>
      <w:r>
        <w:t>collection calculation:</w:t>
      </w:r>
    </w:p>
    <w:p>
      <w:pPr>
        <w:pStyle w:val="ListParagraph"/>
        <w:numPr>
          <w:ilvl w:val="0"/>
          <w:numId w:val="3"/>
        </w:numPr>
        <w:spacing w:after="100" w:afterAutospacing="1" w:before="100" w:beforeAutospacing="1"/>
      </w:pPr>
      <w:r>
        <w:t>Viable aerosol concentration collection (</w:t>
      </w:r>
      <w:r>
        <w:rPr>
          <w:i/>
          <w:iCs/>
        </w:rPr>
        <w:t>C</w:t>
      </w:r>
      <w:r>
        <w:rPr>
          <w:i/>
          <w:iCs/>
          <w:vertAlign w:val="subscript"/>
        </w:rPr>
        <w:t>a</w:t>
      </w:r>
      <w:r>
        <w:t>) = cfu or pfu/L of chamber air.</w:t>
      </w:r>
    </w:p>
    <w:p>
      <w:pPr>
        <w:pStyle w:val="ListParagraph"/>
        <w:numPr>
          <w:ilvl w:val="0"/>
          <w:numId w:val="3"/>
        </w:numPr>
        <w:spacing w:after="100" w:afterAutospacing="1" w:before="100" w:beforeAutospacing="1"/>
      </w:pPr>
      <w:r>
        <w:t>Viable Impinger concentration collection (</w:t>
      </w:r>
      <w:r>
        <w:rPr>
          <w:i/>
          <w:iCs/>
        </w:rPr>
        <w:t>C</w:t>
      </w:r>
      <w:r>
        <w:rPr>
          <w:i/>
          <w:iCs/>
          <w:vertAlign w:val="subscript"/>
        </w:rPr>
        <w:t>Imp</w:t>
      </w:r>
      <w:r>
        <w:t>) = cfu or pfu/mL from enumeration of impinger sample</w:t>
      </w:r>
      <w:r>
        <w:t xml:space="preserve"> or filter sample</w:t>
      </w:r>
      <w:r>
        <w:t>.</w:t>
      </w:r>
    </w:p>
    <w:p>
      <w:pPr>
        <w:pStyle w:val="ListParagraph"/>
        <w:numPr>
          <w:ilvl w:val="0"/>
          <w:numId w:val="3"/>
        </w:numPr>
        <w:spacing w:after="100" w:afterAutospacing="1" w:before="100" w:beforeAutospacing="1"/>
      </w:pPr>
      <w:r>
        <w:t>Impinger sample collection volume (</w:t>
      </w:r>
      <w:r>
        <w:rPr>
          <w:i/>
        </w:rPr>
        <w:t>I</w:t>
      </w:r>
      <w:r>
        <w:rPr>
          <w:i/>
          <w:vertAlign w:val="subscript"/>
        </w:rPr>
        <w:t>vol</w:t>
      </w:r>
      <w:r>
        <w:t>) = 20 mL collection fluid/impinger</w:t>
      </w:r>
      <w:r>
        <w:t>, or extraction fluid for filter</w:t>
      </w:r>
      <w:r>
        <w:t>.</w:t>
      </w:r>
    </w:p>
    <w:p>
      <w:pPr>
        <w:pStyle w:val="ListParagraph"/>
        <w:numPr>
          <w:ilvl w:val="0"/>
          <w:numId w:val="3"/>
        </w:numPr>
        <w:spacing w:after="100" w:afterAutospacing="1" w:before="100" w:beforeAutospacing="1"/>
      </w:pPr>
      <w:r>
        <w:t>AGI–</w:t>
      </w:r>
      <w:r>
        <w:t xml:space="preserve">30 impinger </w:t>
      </w:r>
      <w:r>
        <w:t xml:space="preserve">or filter </w:t>
      </w:r>
      <w:r>
        <w:t>sample flow rate (</w:t>
      </w:r>
      <w:r>
        <w:rPr>
          <w:i/>
          <w:iCs/>
        </w:rPr>
        <w:t>Q</w:t>
      </w:r>
      <w:r>
        <w:rPr>
          <w:i/>
          <w:iCs/>
          <w:vertAlign w:val="subscript"/>
        </w:rPr>
        <w:t>imp</w:t>
      </w:r>
      <w:r>
        <w:rPr>
          <w:iCs/>
        </w:rPr>
        <w:t>)</w:t>
      </w:r>
      <w:r>
        <w:t xml:space="preserve"> = 12.5 L/min.</w:t>
      </w:r>
    </w:p>
    <w:p>
      <w:pPr>
        <w:pStyle w:val="ListParagraph"/>
        <w:numPr>
          <w:ilvl w:val="0"/>
          <w:numId w:val="3"/>
        </w:numPr>
        <w:spacing w:after="100" w:afterAutospacing="1" w:before="100" w:beforeAutospacing="1"/>
      </w:pPr>
      <w:r>
        <w:t>AGI–</w:t>
      </w:r>
      <w:r>
        <w:t>30 impinger</w:t>
      </w:r>
      <w:r>
        <w:t xml:space="preserve"> or </w:t>
      </w:r>
      <w:r>
        <w:t xml:space="preserve">filter </w:t>
      </w:r>
      <w:r>
        <w:t>sample time (</w:t>
      </w:r>
      <w:r>
        <w:rPr>
          <w:i/>
        </w:rPr>
        <w:t>t</w:t>
      </w:r>
      <w:r>
        <w:t>) = 5 or 10 minutes, test dependent.</w:t>
      </w:r>
    </w:p>
    <w:p>
      <w:pPr>
        <w:pStyle w:val="datafield11pt"/>
        <w:jc w:val="center"/>
        <w:spacing w:line="240" w:lineRule="auto"/>
        <w:rPr>
          <w:sz w:val="28"/>
          <w:szCs w:val="28"/>
        </w:rPr>
      </w:pPr>
      <w:r>
        <w:rPr>
          <w:rFonts w:ascii="Times New Roman" w:hAnsi="Times New Roman" w:cs="Times New Roman"/>
          <w:sz w:val="24"/>
          <w:szCs w:val="24"/>
        </w:rPr>
        <w:t xml:space="preserve">For viable impinger </w:t>
      </w:r>
      <w:r>
        <w:rPr>
          <w:rFonts w:ascii="Times New Roman" w:hAnsi="Times New Roman" w:cs="Times New Roman"/>
          <w:sz w:val="24"/>
          <w:szCs w:val="24"/>
        </w:rPr>
        <w:t xml:space="preserve">or filter </w:t>
      </w:r>
      <w:r>
        <w:rPr>
          <w:rFonts w:ascii="Times New Roman" w:hAnsi="Times New Roman" w:cs="Times New Roman"/>
          <w:sz w:val="24"/>
          <w:szCs w:val="24"/>
        </w:rPr>
        <w:t>aerosol concentration collection (</w:t>
      </w:r>
      <w:r>
        <w:rPr>
          <w:rFonts w:ascii="Times New Roman" w:hAnsi="Times New Roman" w:cs="Times New Roman"/>
          <w:i/>
          <w:iCs/>
          <w:sz w:val="24"/>
          <w:szCs w:val="24"/>
        </w:rPr>
        <w:t>C</w:t>
      </w:r>
      <w:r>
        <w:rPr>
          <w:rFonts w:ascii="Times New Roman" w:hAnsi="Times New Roman" w:cs="Times New Roman"/>
          <w:i/>
          <w:iCs/>
          <w:sz w:val="24"/>
          <w:szCs w:val="24"/>
          <w:vertAlign w:val="subscript"/>
        </w:rPr>
        <w:t>a</w:t>
      </w:r>
      <w:r>
        <w:rPr>
          <w:rFonts w:ascii="Times New Roman" w:hAnsi="Times New Roman" w:cs="Times New Roman"/>
          <w:sz w:val="24"/>
          <w:szCs w:val="24"/>
        </w:rPr>
        <w:t>) = cfu or pfu/L of chamber air:</w:t>
      </w:r>
      <w:r>
        <w:rPr>
          <w:sz w:val="28"/>
          <w:szCs w:val="28"/>
        </w:rPr>
        <w:t xml:space="preserve"> </w:t>
      </w:r>
    </w:p>
    <w:p>
      <w:pPr>
        <w:pStyle w:val="datafield11pt"/>
        <w:jc w:val="center"/>
        <w:spacing w:line="240" w:lineRule="auto"/>
        <w:rPr>
          <w:sz w:val="28"/>
          <w:szCs w:val="28"/>
        </w:rPr>
      </w:pPr>
    </w:p>
    <w:p>
      <w:pPr>
        <w:pStyle w:val="datafield11pt"/>
        <w:jc w:val="center"/>
        <w:spacing w:line="240" w:lineRule="auto"/>
        <w:rPr>
          <w:sz w:val="28"/>
          <w:szCs w:val="28"/>
        </w:rPr>
      </w:pPr>
      <w:r>
        <w:rPr>
          <w:i/>
          <w:sz w:val="28"/>
          <w:szCs w:val="28"/>
          <w:position w:val="-32"/>
        </w:rPr>
        <w:object>
          <v:shapetype coordsize="21600, 21600" path="m0,0l21600,0,21600,21600,0,21600xe"/>
          <v:shape id="1082" o:spt="75" style="margin-left:0pt;margin-top:0pt;width:79.5pt;height:36pt;mso-position-horizontal-relative:column;mso-position-vertical-relative:line;z-index:0" coordsize="21600, 21600" o:allowincell="t" filled="f" stroked="f" o:ole="">
            <v:imagedata r:id="rId57" o:title=""/>
          </v:shape>
          <o:OLEObject Type="Embed" ProgID="Equation.3" ShapeID="1082" DrawAspect="Content" ObjectID="_1082" r:id="rId58"/>
        </w:object>
      </w:r>
    </w:p>
    <w:p>
      <w:pPr>
        <w:spacing w:after="100" w:afterAutospacing="1" w:before="100" w:beforeAutospacing="1"/>
      </w:pPr>
      <w:r>
        <w:t>The aerosol system viable delivery efficiency (expressed as %) is:</w:t>
      </w:r>
    </w:p>
    <w:p>
      <w:pPr>
        <w:ind w:firstLine="720"/>
        <w:jc w:val="center"/>
        <w:rPr>
          <w:b/>
          <w:sz w:val="28"/>
          <w:szCs w:val="28"/>
        </w:rPr>
      </w:pPr>
      <w:r>
        <w:rPr>
          <w:b/>
          <w:sz w:val="28"/>
          <w:szCs w:val="28"/>
          <w:position w:val="-32"/>
        </w:rPr>
        <w:object>
          <v:shapetype coordsize="21600, 21600" path="m0,0l21600,0,21600,21600,0,21600xe"/>
          <v:shape id="1083" o:spt="75" style="margin-left:0pt;margin-top:0pt;width:100.5pt;height:36pt;mso-position-horizontal-relative:column;mso-position-vertical-relative:line;z-index:0" coordsize="21600, 21600" o:allowincell="t" filled="f" stroked="f" o:ole="">
            <v:imagedata r:id="rId59" o:title=""/>
          </v:shape>
          <o:OLEObject Type="Embed" ProgID="Equation.3" ShapeID="1083" DrawAspect="Content" ObjectID="_1083" r:id="rId60"/>
        </w:object>
      </w:r>
    </w:p>
    <w:p>
      <w:pPr>
        <w:ind w:firstLine="720"/>
        <w:jc w:val="center"/>
        <w:rPr>
          <w:b/>
          <w:sz w:val="28"/>
          <w:szCs w:val="28"/>
        </w:rPr>
      </w:pPr>
    </w:p>
    <w:p>
      <w:pPr>
        <w:ind w:firstLine="720"/>
        <w:jc w:val="center"/>
        <w:rPr>
          <w:b/>
          <w:sz w:val="28"/>
          <w:szCs w:val="28"/>
        </w:rPr>
      </w:pPr>
    </w:p>
    <w:p>
      <w:pPr>
        <w:ind w:firstLine="720"/>
        <w:jc w:val="center"/>
        <w:rPr>
          <w:b/>
          <w:sz w:val="28"/>
          <w:szCs w:val="28"/>
        </w:rPr>
      </w:pPr>
    </w:p>
    <w:p>
      <w:pPr>
        <w:ind w:firstLine="720"/>
        <w:jc w:val="center"/>
        <w:rPr>
          <w:b/>
          <w:sz w:val="28"/>
          <w:szCs w:val="28"/>
        </w:rPr>
      </w:pPr>
    </w:p>
    <w:p>
      <w:pPr>
        <w:rPr>
          <w:szCs w:val="36"/>
        </w:rPr>
      </w:pPr>
      <w:r>
        <w:rPr>
          <w:noProof/>
          <w:szCs w:val="36"/>
        </w:rPr>
        <w:drawing>
          <wp:inline distT="0" distB="0" distL="0" distR="0">
            <wp:extent cx="6517005" cy="1579245"/>
            <wp:effectExtent l="0" t="0" r="0" b="0"/>
            <wp:docPr id="1084" name="shape1084"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61">
                      <a:extLst>
                        <a:ext uri="{28A0092B-C50C-407E-A947-70E740481C1C}">
                          <a14:useLocalDpi xmlns:a14="http://schemas.microsoft.com/office/drawing/2010/main" val="0"/>
                        </a:ext>
                      </a:extLst>
                    </a:blip>
                    <a:srcRect/>
                    <a:stretch>
                      <a:fillRect/>
                    </a:stretch>
                  </pic:blipFill>
                  <pic:spPr>
                    <a:xfrm>
                      <a:off x="0" y="0"/>
                      <a:ext cx="6517005" cy="1579245"/>
                    </a:xfrm>
                    <a:prstGeom prst="rect"/>
                    <a:noFill/>
                  </pic:spPr>
                </pic:pic>
              </a:graphicData>
            </a:graphic>
          </wp:inline>
        </w:drawing>
      </w: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rPr>
          <w:szCs w:val="36"/>
        </w:rPr>
      </w:pPr>
    </w:p>
    <w:p>
      <w:pPr>
        <w:jc w:val="center"/>
        <w:rPr>
          <w:szCs w:val="36"/>
        </w:rPr>
      </w:pPr>
    </w:p>
    <w:sectPr>
      <w:type w:val="continuous"/>
      <w:pgSz w:w="12240" w:h="15840" w:code="1"/>
      <w:pgMar w:top="1440" w:right="1080" w:bottom="720" w:left="1080" w:header="720" w:footer="432" w:gutter="0"/>
      <w:cols w:space="720"/>
      <w:docGrid w:linePitch="360"/>
      <w:headerReference w:type="default" r:id="rId6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comment w:id="1" w:author="Author" w:initials="A">
    <w:p>
      <w:pPr>
        <w:pStyle w:val="CommentText"/>
      </w:pPr>
      <w:r>
        <w:rPr>
          <w:rStyle w:val="CommentReference"/>
        </w:rPr>
        <w:annotationRef/>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Arial">
    <w:panose1 w:val="020B0604020202020204"/>
    <w:family w:val="swiss"/>
    <w:charset w:val="00"/>
    <w:notTrueType w:val="false"/>
    <w:sig w:usb0="E0002EFF" w:usb1="C000785B" w:usb2="00000009" w:usb3="00000001" w:csb0="400001FF" w:csb1="FFFF0000"/>
  </w:font>
  <w:font w:name="Cambria">
    <w:panose1 w:val="02040503050406030204"/>
    <w:family w:val="roman"/>
    <w:charset w:val="00"/>
    <w:notTrueType w:val="false"/>
    <w:sig w:usb0="E00006FF" w:usb1="420024FF" w:usb2="02000000" w:usb3="00000001" w:csb0="2000019F" w:csb1="00000001"/>
  </w:font>
  <w:font w:name="Garamond">
    <w:panose1 w:val="02020404030301010803"/>
    <w:family w:val="roman"/>
    <w:charset w:val="00"/>
    <w:notTrueType w:val="false"/>
    <w:sig w:usb0="00000287" w:usb1="00000001" w:usb2="00000001" w:usb3="00000001" w:csb0="0000009F" w:csb1="DFD70000"/>
  </w:font>
  <w:font w:name="FranklinGothic-BookItalic">
    <w:panose1 w:val="00000000000000000000"/>
    <w:family w:val="auto"/>
    <w:charset w:val="00"/>
    <w:notTrueType w:val="false"/>
    <w:sig w:usb0="00000003" w:usb1="00000000" w:usb2="00000000" w:usb3="00000000" w:csb0="00000001" w:csb1="00000000"/>
  </w:font>
  <w:font w:name="Times New Roman">
    <w:panose1 w:val="02020603050405020304"/>
    <w:family w:val="roman"/>
    <w:charset w:val="00"/>
    <w:notTrueType w:val="false"/>
    <w:sig w:usb0="E0002EFF" w:usb1="C000785B" w:usb2="00000009" w:usb3="00000001" w:csb0="400001FF" w:csb1="FFFF0000"/>
  </w:font>
  <w:font w:name="Calibri">
    <w:panose1 w:val="020F0502020204030204"/>
    <w:family w:val="swiss"/>
    <w:charset w:val="00"/>
    <w:notTrueType w:val="false"/>
    <w:sig w:usb0="E4002EFF" w:usb1="C000247B" w:usb2="00000009" w:usb3="00000001" w:csb0="200001FF" w:csb1="00000001"/>
  </w:font>
  <w:font w:name="Tahoma">
    <w:panose1 w:val="020B0604030504040204"/>
    <w:family w:val="swiss"/>
    <w:charset w:val="00"/>
    <w:notTrueType w:val="false"/>
    <w:sig w:usb0="E1002EFF" w:usb1="C000605B" w:usb2="00000029" w:usb3="00000001" w:csb0="200101FF" w:csb1="20280000"/>
  </w:font>
  <w:font w:name="Symbol">
    <w:panose1 w:val="05050102010706020507"/>
    <w:family w:val="roman"/>
    <w:charset w:val="02"/>
    <w:notTrueType w:val="false"/>
    <w:sig w:usb0="00000001" w:usb1="00000001" w:usb2="00000001" w:usb3="00000001" w:csb0="80000000" w:csb1="00000001"/>
  </w:font>
  <w:font w:name="Courier New">
    <w:panose1 w:val="02070309020205020404"/>
    <w:family w:val="modern"/>
    <w:charset w:val="00"/>
    <w:notTrueType w:val="false"/>
    <w:sig w:usb0="E0002EFF" w:usb1="C0007843" w:usb2="00000009" w:usb3="00000001" w:csb0="400001FF" w:csb1="FFFF0000"/>
  </w:font>
  <w:font w:name="Wingdings">
    <w:panose1 w:val="05000000000000000000"/>
    <w:family w:val="auto"/>
    <w:charset w:val="02"/>
    <w:notTrueType w:val="false"/>
    <w:sig w:usb0="00000001" w:usb1="00000001" w:usb2="00000001" w:usb3="00000001" w:csb0="80000000"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ind w:right="450"/>
      <w:jc w:val="both"/>
      <w:tabs>
        <w:tab w:val="left" w:pos="12195"/>
      </w:tabs>
      <w:rPr>
        <w:rFonts w:ascii="Arial" w:hAnsi="Arial" w:cs="Arial"/>
        <w:i/>
        <w:color w:val="808080"/>
        <w:sz w:val="16"/>
        <w:szCs w:val="16"/>
      </w:rPr>
    </w:pPr>
    <w:r>
      <w:rPr>
        <w:noProof/>
      </w:rPr>
      <mc:AlternateContent>
        <mc:Choice Requires="wps">
          <w:drawing>
            <wp:anchor distT="0" distB="0" distL="114300" distR="114300" behindDoc="0" locked="0" layoutInCell="1" simplePos="0" relativeHeight="251668480" allowOverlap="1" hidden="0">
              <wp:simplePos x="0" y="0"/>
              <wp:positionH relativeFrom="column">
                <wp:posOffset>4312</wp:posOffset>
              </wp:positionH>
              <wp:positionV relativeFrom="paragraph">
                <wp:posOffset>51435</wp:posOffset>
              </wp:positionV>
              <wp:extent cx="6370955" cy="0"/>
              <wp:effectExtent l="6350" t="6350" r="6350" b="6350"/>
              <wp:wrapNone/>
              <wp:docPr id="2059" name="shape2059"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0955" cy="0"/>
                      </a:xfrm>
                      <a:prstGeom prst="line">
                        <a:avLst/>
                      </a:prstGeom>
                      <a:ln w="12700">
                        <a:solidFill>
                          <a:schemeClr val="dk1">
                            <a:lumMod val="50000"/>
                            <a:lumOff val="50000"/>
                          </a:schemeClr>
                        </a:solidFill>
                      </a:ln>
                    </wps:spPr>
                    <wps:style>
                      <a:lnRef idx="1">
                        <a:schemeClr val="accent1"/>
                      </a:lnRef>
                      <a:fillRef idx="0">
                        <a:schemeClr val="accent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339528pt;margin-top:4.05pt;width:501.65pt;height:0pt;mso-position-horizontal-relative:column;mso-position-vertical-relative:line;v-text-anchor:top;mso-wrap-style:square;z-index:251668480" o:allowincell="t" filled="f" stroked="t" strokecolor="#808080" strokeweight="1pt">
              <v:stroke joinstyle="round"/>
            </v:line>
          </w:pict>
        </mc:Fallback>
      </mc:AlternateContent>
    </w:r>
    <w:r>
      <w:rPr>
        <w:rFonts w:ascii="Arial" w:hAnsi="Arial" w:cs="Arial"/>
        <w:i/>
        <w:color w:val="808080"/>
        <w:sz w:val="16"/>
        <w:szCs w:val="16"/>
      </w:rPr>
      <w:tab/>
    </w:r>
  </w:p>
  <w:p>
    <w:pPr>
      <w:ind w:right="-90" w:firstLine="180"/>
      <w:tabs>
        <w:tab w:val="left" w:pos="2520"/>
        <w:tab w:val="left" w:pos="9450"/>
      </w:tabs>
      <w:rPr>
        <w:rFonts w:asciiTheme="majorHAnsi" w:hAnsiTheme="majorHAnsi" w:cs="Arial"/>
        <w:i/>
        <w:color w:val="808080"/>
        <w:sz w:val="16"/>
        <w:szCs w:val="16"/>
      </w:rPr>
    </w:pPr>
    <w:r>
      <w:rPr>
        <w:rFonts w:asciiTheme="majorHAnsi" w:hAnsiTheme="majorHAnsi" w:cs="Arial"/>
        <w:i/>
        <w:color w:val="808080"/>
        <w:sz w:val="16"/>
        <w:szCs w:val="16"/>
      </w:rPr>
      <w:t xml:space="preserve">ARE Labs Inc. </w:t>
    </w:r>
    <w:r>
      <w:rPr>
        <w:rFonts w:asciiTheme="majorHAnsi" w:hAnsiTheme="majorHAnsi" w:cs="Arial"/>
        <w:i/>
        <w:color w:val="0070C0"/>
        <w:sz w:val="16"/>
        <w:szCs w:val="16"/>
      </w:rPr>
      <w:t>2021</w:t>
    </w:r>
    <w:r>
      <w:rPr>
        <w:rFonts w:asciiTheme="majorHAnsi" w:hAnsiTheme="majorHAnsi" w:cs="Arial"/>
        <w:i/>
        <w:color w:val="31859B"/>
        <w:sz w:val="16"/>
        <w:szCs w:val="16"/>
      </w:rPr>
      <w:tab/>
    </w:r>
    <w:r>
      <w:rPr>
        <w:rFonts w:asciiTheme="majorHAnsi" w:hAnsiTheme="majorHAnsi" w:cs="Arial"/>
        <w:i/>
        <w:color w:val="808080"/>
        <w:sz w:val="16"/>
        <w:szCs w:val="16"/>
      </w:rPr>
      <w:t xml:space="preserve">Efficacy of The </w:t>
    </w:r>
    <w:r>
      <w:rPr>
        <w:rFonts w:asciiTheme="majorHAnsi" w:hAnsiTheme="majorHAnsi" w:cs="Arial"/>
        <w:i/>
        <w:color w:val="808080"/>
        <w:sz w:val="16"/>
        <w:szCs w:val="16"/>
      </w:rPr>
      <w:t>VKPro</w:t>
    </w:r>
    <w:r>
      <w:rPr>
        <w:rFonts w:asciiTheme="majorHAnsi" w:hAnsiTheme="majorHAnsi" w:cs="Arial"/>
        <w:i/>
        <w:color w:val="808080"/>
        <w:sz w:val="16"/>
        <w:szCs w:val="16"/>
      </w:rPr>
      <w:t xml:space="preserve"> Against Six Broad Ranged Bioaerosol Challenge            </w:t>
    </w:r>
    <w:r>
      <w:rPr>
        <w:rFonts w:asciiTheme="majorHAnsi" w:hAnsiTheme="majorHAnsi" w:cs="Arial"/>
        <w:i/>
        <w:color w:val="808080"/>
        <w:sz w:val="16"/>
        <w:szCs w:val="16"/>
      </w:rPr>
      <w:tab/>
    </w:r>
    <w:r>
      <w:rPr>
        <w:rStyle w:val="PageNumber"/>
        <w:rFonts w:asciiTheme="majorHAnsi" w:hAnsiTheme="majorHAnsi"/>
        <w:color w:val="0070C0"/>
        <w:sz w:val="16"/>
        <w:szCs w:val="16"/>
      </w:rPr>
      <w:fldChar w:fldCharType="begin"/>
    </w:r>
    <w:r>
      <w:rPr>
        <w:rStyle w:val="PageNumber"/>
        <w:rFonts w:asciiTheme="majorHAnsi" w:hAnsiTheme="majorHAnsi"/>
        <w:color w:val="0070C0"/>
        <w:sz w:val="16"/>
        <w:szCs w:val="16"/>
      </w:rPr>
      <w:instrText xml:space="preserve"> PAGE </w:instrText>
    </w:r>
    <w:r>
      <w:rPr>
        <w:rStyle w:val="PageNumber"/>
        <w:rFonts w:asciiTheme="majorHAnsi" w:hAnsiTheme="majorHAnsi"/>
        <w:color w:val="0070C0"/>
        <w:sz w:val="16"/>
        <w:szCs w:val="16"/>
      </w:rPr>
      <w:fldChar w:fldCharType="separate"/>
    </w:r>
    <w:r>
      <w:rPr>
        <w:rStyle w:val="PageNumber"/>
        <w:rFonts w:asciiTheme="majorHAnsi" w:hAnsiTheme="majorHAnsi"/>
        <w:noProof/>
        <w:color w:val="0070C0"/>
        <w:sz w:val="16"/>
        <w:szCs w:val="16"/>
      </w:rPr>
      <w:t>22</w:t>
    </w:r>
    <w:r>
      <w:rPr>
        <w:rStyle w:val="PageNumber"/>
        <w:rFonts w:asciiTheme="majorHAnsi" w:hAnsiTheme="majorHAnsi"/>
        <w:color w:val="0070C0"/>
        <w:sz w:val="16"/>
        <w:szCs w:val="16"/>
      </w:rPr>
      <w:fldChar w:fldCharType="end"/>
    </w:r>
    <w:r>
      <w:rPr>
        <w:rStyle w:val="PageNumber"/>
        <w:rFonts w:asciiTheme="majorHAnsi" w:hAnsiTheme="majorHAnsi"/>
        <w:color w:val="808080"/>
        <w:sz w:val="16"/>
        <w:szCs w:val="16"/>
      </w:rPr>
      <w:t xml:space="preserve"> of </w:t>
    </w:r>
    <w:r>
      <w:rPr>
        <w:rStyle w:val="PageNumber"/>
        <w:rFonts w:asciiTheme="majorHAnsi" w:hAnsiTheme="majorHAnsi"/>
        <w:color w:val="808080"/>
        <w:sz w:val="16"/>
        <w:szCs w:val="16"/>
      </w:rPr>
      <w:fldChar w:fldCharType="begin"/>
    </w:r>
    <w:r>
      <w:rPr>
        <w:rStyle w:val="PageNumber"/>
        <w:rFonts w:asciiTheme="majorHAnsi" w:hAnsiTheme="majorHAnsi"/>
        <w:color w:val="808080"/>
        <w:sz w:val="16"/>
        <w:szCs w:val="16"/>
      </w:rPr>
      <w:instrText xml:space="preserve"> NUMPAGES </w:instrText>
    </w:r>
    <w:r>
      <w:rPr>
        <w:rStyle w:val="PageNumber"/>
        <w:rFonts w:asciiTheme="majorHAnsi" w:hAnsiTheme="majorHAnsi"/>
        <w:color w:val="808080"/>
        <w:sz w:val="16"/>
        <w:szCs w:val="16"/>
      </w:rPr>
      <w:fldChar w:fldCharType="separate"/>
    </w:r>
    <w:r>
      <w:rPr>
        <w:rStyle w:val="PageNumber"/>
        <w:rFonts w:asciiTheme="majorHAnsi" w:hAnsiTheme="majorHAnsi"/>
        <w:noProof/>
        <w:color w:val="808080"/>
        <w:sz w:val="16"/>
        <w:szCs w:val="16"/>
      </w:rPr>
      <w:t>44</w:t>
    </w:r>
    <w:r>
      <w:rPr>
        <w:rStyle w:val="PageNumber"/>
        <w:rFonts w:asciiTheme="majorHAnsi" w:hAnsiTheme="majorHAnsi"/>
        <w:color w:val="808080"/>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Header"/>
    </w:pPr>
    <w:r>
      <w:rPr>
        <w:noProof/>
      </w:rPr>
      <w:drawing>
        <wp:anchor distT="0" distB="0" distL="114300" distR="114300" behindDoc="0" locked="0" layoutInCell="1" simplePos="0" relativeHeight="251666432" allowOverlap="1" hidden="0">
          <wp:simplePos x="0" y="0"/>
          <wp:positionH relativeFrom="column">
            <wp:posOffset>-60960</wp:posOffset>
          </wp:positionH>
          <wp:positionV relativeFrom="paragraph">
            <wp:posOffset>-74930</wp:posOffset>
          </wp:positionV>
          <wp:extent cx="1337945" cy="457200"/>
          <wp:effectExtent l="0" t="0" r="0" b="0"/>
          <wp:wrapNone/>
          <wp:docPr id="2056" name="shape2056"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1">
                    <a:extLst>
                      <a:ext uri="{28A0092B-C50C-407E-A947-70E740481C1C}">
                        <a14:useLocalDpi xmlns:a14="http://schemas.microsoft.com/office/drawing/2010/main" val="0"/>
                      </a:ext>
                    </a:extLst>
                  </a:blip>
                  <a:srcRect/>
                  <a:stretch>
                    <a:fillRect/>
                  </a:stretch>
                </pic:blipFill>
                <pic:spPr>
                  <a:xfrm>
                    <a:off x="0" y="0"/>
                    <a:ext cx="1337945" cy="457200"/>
                  </a:xfrm>
                  <a:prstGeom prst="rect"/>
                </pic:spPr>
              </pic:pic>
            </a:graphicData>
          </a:graphic>
        </wp:anchor>
      </w:drawing>
    </w:r>
    <w:r>
      <w:rPr>
        <w:noProof/>
        <w:color w:val="808080"/>
      </w:rPr>
      <mc:AlternateContent>
        <mc:Choice Requires="wps">
          <w:drawing>
            <wp:anchor distT="0" distB="0" distL="114300" distR="114300" behindDoc="0" locked="0" layoutInCell="1" simplePos="0" relativeHeight="251662336" allowOverlap="1" hidden="0">
              <wp:simplePos x="0" y="0"/>
              <wp:positionH relativeFrom="column">
                <wp:posOffset>-38819</wp:posOffset>
              </wp:positionH>
              <wp:positionV relativeFrom="paragraph">
                <wp:posOffset>-146649</wp:posOffset>
              </wp:positionV>
              <wp:extent cx="6414087" cy="0"/>
              <wp:effectExtent l="3175" t="3175" r="3175" b="3175"/>
              <wp:wrapNone/>
              <wp:docPr id="2057" name="shape2057"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4087" cy="0"/>
                      </a:xfrm>
                      <a:prstGeom prst="line">
                        <a:avLst/>
                      </a:prstGeom>
                      <a:ln w="6350">
                        <a:solidFill>
                          <a:schemeClr val="dk1">
                            <a:lumMod val="50000"/>
                            <a:lumOff val="50000"/>
                          </a:schemeClr>
                        </a:solidFill>
                      </a:ln>
                    </wps:spPr>
                    <wps:style>
                      <a:lnRef idx="1">
                        <a:schemeClr val="accent1"/>
                      </a:lnRef>
                      <a:fillRef idx="0">
                        <a:schemeClr val="accent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3.05661pt;margin-top:-11.5472pt;width:505.046pt;height:0pt;mso-position-horizontal-relative:column;mso-position-vertical-relative:line;v-text-anchor:top;mso-wrap-style:square;z-index:251662336" o:allowincell="t" filled="f" stroked="t" strokecolor="#808080" strokeweight="0.5pt">
              <v:stroke joinstyle="round"/>
            </v:line>
          </w:pict>
        </mc:Fallback>
      </mc:AlternateContent>
    </w:r>
  </w:p>
  <w:p>
    <w:pPr>
      <w:jc w:val="right"/>
      <w:rPr>
        <w:rFonts w:ascii="Arial" w:hAnsi="Arial" w:cs="Arial"/>
        <w:color w:val="808080"/>
        <w:sz w:val="16"/>
        <w:szCs w:val="16"/>
      </w:rPr>
    </w:pPr>
    <w:r>
      <w:fldChar w:fldCharType="begin"/>
    </w:r>
    <w:r>
      <w:instrText xml:space="preserve"> HYPERLINK "http://WWW.ARELABS.COM" </w:instrText>
    </w:r>
    <w:r>
      <w:fldChar w:fldCharType="separate"/>
    </w:r>
    <w:r>
      <w:rPr>
        <w:rStyle w:val="Hyperlink"/>
        <w:rFonts w:ascii="Arial" w:hAnsi="Arial" w:cs="Arial"/>
        <w:color w:val="808080"/>
        <w:sz w:val="16"/>
        <w:szCs w:val="16"/>
        <w:u w:val="none" w:color="auto"/>
      </w:rPr>
      <w:t>www.arelabs.com</w:t>
    </w:r>
    <w:r>
      <w:fldChar w:fldCharType="end"/>
    </w:r>
  </w:p>
  <w:p>
    <w:pPr>
      <w:jc w:val="right"/>
      <w:rPr>
        <w:rFonts w:ascii="Arial" w:hAnsi="Arial" w:cs="Arial"/>
        <w:color w:val="808080"/>
        <w:sz w:val="14"/>
        <w:szCs w:val="14"/>
      </w:rPr>
    </w:pPr>
    <w:r>
      <w:rPr>
        <w:rFonts w:ascii="Arial" w:hAnsi="Arial" w:cs="Arial"/>
        <w:color w:val="808080"/>
        <w:sz w:val="14"/>
        <w:szCs w:val="14"/>
      </w:rPr>
      <w:t>(p) 913-850-6630  (f) 913-850-6635</w:t>
    </w:r>
  </w:p>
  <w:p>
    <w:pPr>
      <w:pStyle w:val="Header"/>
      <w:jc w:val="right"/>
      <w:rPr>
        <w:sz w:val="18"/>
        <w:szCs w:val="18"/>
      </w:rPr>
    </w:pPr>
    <w:r>
      <w:rPr>
        <w:noProof/>
      </w:rPr>
      <mc:AlternateContent>
        <mc:Choice Requires="wps">
          <w:drawing>
            <wp:anchor distT="0" distB="0" distL="114300" distR="114300" behindDoc="0" locked="0" layoutInCell="1" simplePos="0" relativeHeight="251664384" allowOverlap="1" hidden="0">
              <wp:simplePos x="0" y="0"/>
              <wp:positionH relativeFrom="column">
                <wp:posOffset>-39719</wp:posOffset>
              </wp:positionH>
              <wp:positionV relativeFrom="paragraph">
                <wp:posOffset>38151</wp:posOffset>
              </wp:positionV>
              <wp:extent cx="6439635" cy="0"/>
              <wp:effectExtent l="6350" t="6350" r="6350" b="6350"/>
              <wp:wrapNone/>
              <wp:docPr id="2058" name="shape2058"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9635" cy="0"/>
                      </a:xfrm>
                      <a:prstGeom prst="line">
                        <a:avLst/>
                      </a:prstGeom>
                      <a:ln w="12700">
                        <a:solidFill>
                          <a:schemeClr val="dk1">
                            <a:lumMod val="50000"/>
                            <a:lumOff val="50000"/>
                          </a:schemeClr>
                        </a:solidFill>
                      </a:ln>
                    </wps:spPr>
                    <wps:style>
                      <a:lnRef idx="1">
                        <a:schemeClr val="accent1"/>
                      </a:lnRef>
                      <a:fillRef idx="0">
                        <a:schemeClr val="accent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3.12748pt;margin-top:3.00402pt;width:507.058pt;height:0pt;mso-position-horizontal-relative:column;mso-position-vertical-relative:line;v-text-anchor:top;mso-wrap-style:square;z-index:251664384" o:allowincell="t" filled="f" stroked="t" strokecolor="#808080" strokeweight="1pt">
              <v:stroke joinstyle="round"/>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Header"/>
    </w:pPr>
    <w:r>
      <w:rPr>
        <w:noProof/>
      </w:rPr>
      <w:drawing>
        <wp:anchor distT="0" distB="0" distL="114300" distR="114300" behindDoc="0" locked="0" layoutInCell="1" simplePos="0" relativeHeight="251674624" allowOverlap="1" hidden="0">
          <wp:simplePos x="0" y="0"/>
          <wp:positionH relativeFrom="column">
            <wp:posOffset>-14605</wp:posOffset>
          </wp:positionH>
          <wp:positionV relativeFrom="paragraph">
            <wp:posOffset>19050</wp:posOffset>
          </wp:positionV>
          <wp:extent cx="1411605" cy="274320"/>
          <wp:effectExtent l="0" t="0" r="0" b="0"/>
          <wp:wrapNone/>
          <wp:docPr id="2049" name="shape2049"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1">
                    <a:extLst>
                      <a:ext uri="{28A0092B-C50C-407E-A947-70E740481C1C}">
                        <a14:useLocalDpi xmlns:a14="http://schemas.microsoft.com/office/drawing/2010/main" val="0"/>
                      </a:ext>
                    </a:extLst>
                  </a:blip>
                  <a:srcRect/>
                  <a:stretch>
                    <a:fillRect/>
                  </a:stretch>
                </pic:blipFill>
                <pic:spPr>
                  <a:xfrm>
                    <a:off x="0" y="0"/>
                    <a:ext cx="1411605" cy="274320"/>
                  </a:xfrm>
                  <a:prstGeom prst="rect"/>
                </pic:spPr>
              </pic:pic>
            </a:graphicData>
          </a:graphic>
        </wp:anchor>
      </w:drawing>
    </w:r>
    <w:r>
      <w:rPr>
        <w:noProof/>
        <w:color w:val="808080"/>
      </w:rPr>
      <mc:AlternateContent>
        <mc:Choice Requires="wps">
          <w:drawing>
            <wp:anchor distT="0" distB="0" distL="114300" distR="114300" behindDoc="0" locked="0" layoutInCell="1" simplePos="0" relativeHeight="251671552" allowOverlap="1" hidden="0">
              <wp:simplePos x="0" y="0"/>
              <wp:positionH relativeFrom="column">
                <wp:posOffset>-38819</wp:posOffset>
              </wp:positionH>
              <wp:positionV relativeFrom="paragraph">
                <wp:posOffset>-146649</wp:posOffset>
              </wp:positionV>
              <wp:extent cx="6414087" cy="0"/>
              <wp:effectExtent l="3175" t="3175" r="3175" b="3175"/>
              <wp:wrapNone/>
              <wp:docPr id="2050" name="shape2050"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4087" cy="0"/>
                      </a:xfrm>
                      <a:prstGeom prst="line">
                        <a:avLst/>
                      </a:prstGeom>
                      <a:ln w="6350">
                        <a:solidFill>
                          <a:schemeClr val="dk1">
                            <a:lumMod val="50000"/>
                            <a:lumOff val="50000"/>
                          </a:schemeClr>
                        </a:solidFill>
                      </a:ln>
                    </wps:spPr>
                    <wps:style>
                      <a:lnRef idx="1">
                        <a:schemeClr val="accent1"/>
                      </a:lnRef>
                      <a:fillRef idx="0">
                        <a:schemeClr val="accent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3.05661pt;margin-top:-11.5472pt;width:505.046pt;height:0pt;mso-position-horizontal-relative:column;mso-position-vertical-relative:line;v-text-anchor:top;mso-wrap-style:square;z-index:251671552" o:allowincell="t" filled="f" stroked="t" strokecolor="#808080" strokeweight="0.5pt">
              <v:stroke joinstyle="round"/>
            </v:line>
          </w:pict>
        </mc:Fallback>
      </mc:AlternateContent>
    </w:r>
  </w:p>
  <w:p>
    <w:pPr>
      <w:jc w:val="right"/>
      <w:rPr>
        <w:rFonts w:ascii="Arial" w:hAnsi="Arial" w:cs="Arial"/>
        <w:color w:val="808080"/>
        <w:sz w:val="16"/>
        <w:szCs w:val="16"/>
      </w:rPr>
    </w:pPr>
    <w:r>
      <w:fldChar w:fldCharType="begin"/>
    </w:r>
    <w:r>
      <w:instrText xml:space="preserve"> HYPERLINK "http://WWW.ARELABS.COM" </w:instrText>
    </w:r>
    <w:r>
      <w:fldChar w:fldCharType="separate"/>
    </w:r>
    <w:r>
      <w:rPr>
        <w:rStyle w:val="Hyperlink"/>
        <w:rFonts w:ascii="Arial" w:hAnsi="Arial" w:cs="Arial"/>
        <w:color w:val="808080"/>
        <w:sz w:val="16"/>
        <w:szCs w:val="16"/>
        <w:u w:val="none" w:color="auto"/>
      </w:rPr>
      <w:t>www.arelabs.com</w:t>
    </w:r>
    <w:r>
      <w:fldChar w:fldCharType="end"/>
    </w:r>
  </w:p>
  <w:p>
    <w:pPr>
      <w:jc w:val="right"/>
      <w:rPr>
        <w:rFonts w:ascii="Arial" w:hAnsi="Arial" w:cs="Arial"/>
        <w:color w:val="808080"/>
        <w:sz w:val="14"/>
        <w:szCs w:val="14"/>
      </w:rPr>
    </w:pPr>
    <w:r>
      <w:rPr>
        <w:rFonts w:ascii="Arial" w:hAnsi="Arial" w:cs="Arial"/>
        <w:color w:val="808080"/>
        <w:sz w:val="14"/>
        <w:szCs w:val="14"/>
      </w:rPr>
      <w:t>(p) 913-850-6630  (f) 913-850-6635</w:t>
    </w:r>
  </w:p>
  <w:p>
    <w:pPr>
      <w:pStyle w:val="Header"/>
      <w:jc w:val="right"/>
      <w:rPr>
        <w:sz w:val="18"/>
        <w:szCs w:val="18"/>
      </w:rPr>
    </w:pPr>
    <w:r>
      <w:rPr>
        <w:noProof/>
      </w:rPr>
      <mc:AlternateContent>
        <mc:Choice Requires="wps">
          <w:drawing>
            <wp:anchor distT="0" distB="0" distL="114300" distR="114300" behindDoc="0" locked="0" layoutInCell="1" simplePos="0" relativeHeight="251672576" allowOverlap="1" hidden="0">
              <wp:simplePos x="0" y="0"/>
              <wp:positionH relativeFrom="column">
                <wp:posOffset>-39719</wp:posOffset>
              </wp:positionH>
              <wp:positionV relativeFrom="paragraph">
                <wp:posOffset>38151</wp:posOffset>
              </wp:positionV>
              <wp:extent cx="6439635" cy="0"/>
              <wp:effectExtent l="6350" t="6350" r="6350" b="6350"/>
              <wp:wrapNone/>
              <wp:docPr id="2051" name="shape2051"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9635" cy="0"/>
                      </a:xfrm>
                      <a:prstGeom prst="line">
                        <a:avLst/>
                      </a:prstGeom>
                      <a:ln w="12700">
                        <a:solidFill>
                          <a:schemeClr val="dk1">
                            <a:lumMod val="50000"/>
                            <a:lumOff val="50000"/>
                          </a:schemeClr>
                        </a:solidFill>
                      </a:ln>
                    </wps:spPr>
                    <wps:style>
                      <a:lnRef idx="1">
                        <a:schemeClr val="accent1"/>
                      </a:lnRef>
                      <a:fillRef idx="0">
                        <a:schemeClr val="accent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3.12748pt;margin-top:3.00402pt;width:507.058pt;height:0pt;mso-position-horizontal-relative:column;mso-position-vertical-relative:line;v-text-anchor:top;mso-wrap-style:square;z-index:251672576" o:allowincell="t" filled="f" stroked="t" strokecolor="#808080" strokeweight="1pt">
              <v:stroke joinstyle="round"/>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Header"/>
      <w:jc w:val="right"/>
    </w:pPr>
    <w:r>
      <w:rPr>
        <w:rFonts w:ascii="Arial" w:hAnsi="Arial" w:cs="Arial"/>
        <w:noProof/>
        <w:color w:val="333333"/>
        <w:sz w:val="16"/>
        <w:szCs w:val="16"/>
      </w:rPr>
      <w:drawing>
        <wp:anchor distT="0" distB="0" distL="114300" distR="114300" behindDoc="0" locked="0" layoutInCell="1" simplePos="0" relativeHeight="251677696" allowOverlap="1" hidden="0">
          <wp:simplePos x="0" y="0"/>
          <wp:positionH relativeFrom="column">
            <wp:posOffset>-26035</wp:posOffset>
          </wp:positionH>
          <wp:positionV relativeFrom="paragraph">
            <wp:posOffset>-32385</wp:posOffset>
          </wp:positionV>
          <wp:extent cx="1371600" cy="467995"/>
          <wp:effectExtent l="0" t="0" r="0" b="0"/>
          <wp:wrapNone/>
          <wp:docPr id="2052" name="shape2052"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1">
                    <a:grayscl/>
                    <a:extLst>
                      <a:ext uri="{28A0092B-C50C-407E-A947-70E740481C1C}">
                        <a14:useLocalDpi xmlns:a14="http://schemas.microsoft.com/office/drawing/2010/main" val="0"/>
                      </a:ext>
                    </a:extLst>
                  </a:blip>
                  <a:srcRect/>
                  <a:stretch>
                    <a:fillRect/>
                  </a:stretch>
                </pic:blipFill>
                <pic:spPr>
                  <a:xfrm>
                    <a:off x="0" y="0"/>
                    <a:ext cx="1371600" cy="467995"/>
                  </a:xfrm>
                  <a:prstGeom prst="rect"/>
                  <a:noFill/>
                  <a:ln>
                    <a:noFill/>
                  </a:ln>
                </pic:spPr>
              </pic:pic>
            </a:graphicData>
          </a:graphic>
        </wp:anchor>
      </w:drawing>
    </w:r>
  </w:p>
  <w:p>
    <w:pPr>
      <w:jc w:val="right"/>
      <w:rPr>
        <w:rFonts w:ascii="Arial" w:hAnsi="Arial" w:cs="Arial"/>
        <w:color w:val="333333"/>
        <w:sz w:val="16"/>
        <w:szCs w:val="16"/>
      </w:rPr>
    </w:pPr>
    <w:r>
      <w:fldChar w:fldCharType="begin"/>
    </w:r>
    <w:r>
      <w:instrText xml:space="preserve"> HYPERLINK "http://WWW.ARELABS.COM" </w:instrText>
    </w:r>
    <w:r>
      <w:fldChar w:fldCharType="separate"/>
    </w:r>
    <w:r>
      <w:rPr>
        <w:rStyle w:val="Hyperlink"/>
        <w:rFonts w:ascii="Arial" w:hAnsi="Arial" w:cs="Arial"/>
        <w:color w:val="333333"/>
        <w:sz w:val="16"/>
        <w:szCs w:val="16"/>
        <w:u w:val="none" w:color="auto"/>
      </w:rPr>
      <w:t>www.arelabs.com</w:t>
    </w:r>
    <w:r>
      <w:fldChar w:fldCharType="end"/>
    </w:r>
  </w:p>
  <w:p>
    <w:pPr>
      <w:jc w:val="right"/>
      <w:rPr>
        <w:rFonts w:ascii="Arial" w:hAnsi="Arial" w:cs="Arial"/>
        <w:color w:val="333333"/>
        <w:sz w:val="14"/>
        <w:szCs w:val="14"/>
      </w:rPr>
    </w:pPr>
    <w:r>
      <w:rPr>
        <w:noProof/>
        <w:sz w:val="18"/>
        <w:szCs w:val="18"/>
      </w:rPr>
      <mc:AlternateContent>
        <mc:Choice Requires="wps">
          <w:drawing>
            <wp:anchor distT="0" distB="0" distL="114300" distR="114300" behindDoc="0" locked="0" layoutInCell="1" simplePos="0" relativeHeight="251676672" allowOverlap="1" hidden="0">
              <wp:simplePos x="0" y="0"/>
              <wp:positionH relativeFrom="column">
                <wp:posOffset>0</wp:posOffset>
              </wp:positionH>
              <wp:positionV relativeFrom="paragraph">
                <wp:posOffset>114934</wp:posOffset>
              </wp:positionV>
              <wp:extent cx="8216900" cy="0"/>
              <wp:effectExtent l="4762" t="4762" r="4762" b="4762"/>
              <wp:wrapNone/>
              <wp:docPr id="2053" name="shape2053"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16900" cy="0"/>
                      </a:xfrm>
                      <a:prstGeom prst="line">
                        <a:avLst/>
                      </a:prstGeom>
                      <a:noFill/>
                      <a:ln>
                        <a:solidFill>
                          <a:srgbClr val="333333"/>
                        </a:solidFill>
                      </a:ln>
                    </wps:spPr>
                    <wps:bodyPr rot="0" vert="horz" wrap="square" lIns="91440" tIns="45720" rIns="91440" bIns="45720" anchor="t">
                      <a:noAutofit/>
                    </wps:bodyPr>
                  </wps:wsp>
                </a:graphicData>
              </a:graphic>
            </wp:anchor>
          </w:drawing>
        </mc:Choice>
        <mc:Fallback>
          <w:pict>
            <v:line id="line 2" style="position:absolute;margin-left:0pt;margin-top:9.04992pt;width:647pt;height:0pt;mso-position-horizontal-relative:column;mso-position-vertical-relative:line;v-text-anchor:top;mso-wrap-style:square;z-index:251676672" o:allowincell="t" filled="f" fillcolor="#ffffff" stroked="t" strokecolor="#333333" strokeweight="0.75pt">
              <v:stroke joinstyle="round"/>
            </v:line>
          </w:pict>
        </mc:Fallback>
      </mc:AlternateContent>
    </w:r>
    <w:r>
      <w:rPr>
        <w:rFonts w:ascii="Arial" w:hAnsi="Arial" w:cs="Arial"/>
        <w:color w:val="333333"/>
        <w:sz w:val="14"/>
        <w:szCs w:val="14"/>
      </w:rPr>
      <w:t>(p) 913-850-6630  (f) 913-850-6635</w:t>
    </w:r>
  </w:p>
  <w:p>
    <w:pPr>
      <w:pStyle w:val="Header"/>
      <w:jc w:val="right"/>
      <w:rPr>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Header"/>
      <w:jc w:val="right"/>
    </w:pPr>
    <w:r>
      <w:rPr>
        <w:rFonts w:ascii="Arial" w:hAnsi="Arial" w:cs="Arial"/>
        <w:noProof/>
        <w:color w:val="333333"/>
        <w:sz w:val="16"/>
        <w:szCs w:val="16"/>
      </w:rPr>
      <w:drawing>
        <wp:anchor distT="0" distB="0" distL="114300" distR="114300" behindDoc="0" locked="0" layoutInCell="1" simplePos="0" relativeHeight="251657216" allowOverlap="1" hidden="0">
          <wp:simplePos x="0" y="0"/>
          <wp:positionH relativeFrom="column">
            <wp:posOffset>-26035</wp:posOffset>
          </wp:positionH>
          <wp:positionV relativeFrom="paragraph">
            <wp:posOffset>-32385</wp:posOffset>
          </wp:positionV>
          <wp:extent cx="1371600" cy="467995"/>
          <wp:effectExtent l="0" t="0" r="0" b="0"/>
          <wp:wrapNone/>
          <wp:docPr id="2054" name="shape2054"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1">
                    <a:grayscl/>
                    <a:extLst>
                      <a:ext uri="{28A0092B-C50C-407E-A947-70E740481C1C}">
                        <a14:useLocalDpi xmlns:a14="http://schemas.microsoft.com/office/drawing/2010/main" val="0"/>
                      </a:ext>
                    </a:extLst>
                  </a:blip>
                  <a:srcRect/>
                  <a:stretch>
                    <a:fillRect/>
                  </a:stretch>
                </pic:blipFill>
                <pic:spPr>
                  <a:xfrm>
                    <a:off x="0" y="0"/>
                    <a:ext cx="1371600" cy="467995"/>
                  </a:xfrm>
                  <a:prstGeom prst="rect"/>
                  <a:noFill/>
                  <a:ln>
                    <a:noFill/>
                  </a:ln>
                </pic:spPr>
              </pic:pic>
            </a:graphicData>
          </a:graphic>
        </wp:anchor>
      </w:drawing>
    </w:r>
  </w:p>
  <w:p>
    <w:pPr>
      <w:jc w:val="right"/>
      <w:rPr>
        <w:rFonts w:ascii="Arial" w:hAnsi="Arial" w:cs="Arial"/>
        <w:color w:val="333333"/>
        <w:sz w:val="16"/>
        <w:szCs w:val="16"/>
      </w:rPr>
    </w:pPr>
    <w:r>
      <w:fldChar w:fldCharType="begin"/>
    </w:r>
    <w:r>
      <w:instrText xml:space="preserve"> HYPERLINK "http://WWW.ARELABS.COM" </w:instrText>
    </w:r>
    <w:r>
      <w:fldChar w:fldCharType="separate"/>
    </w:r>
    <w:r>
      <w:rPr>
        <w:rStyle w:val="Hyperlink"/>
        <w:rFonts w:ascii="Arial" w:hAnsi="Arial" w:cs="Arial"/>
        <w:color w:val="333333"/>
        <w:sz w:val="16"/>
        <w:szCs w:val="16"/>
        <w:u w:val="none" w:color="auto"/>
      </w:rPr>
      <w:t>www.arelabs.com</w:t>
    </w:r>
    <w:r>
      <w:fldChar w:fldCharType="end"/>
    </w:r>
  </w:p>
  <w:p>
    <w:pPr>
      <w:jc w:val="right"/>
      <w:rPr>
        <w:rFonts w:ascii="Arial" w:hAnsi="Arial" w:cs="Arial"/>
        <w:color w:val="333333"/>
        <w:sz w:val="14"/>
        <w:szCs w:val="14"/>
      </w:rPr>
    </w:pPr>
    <w:r>
      <w:rPr>
        <w:rFonts w:ascii="Arial" w:hAnsi="Arial" w:cs="Arial"/>
        <w:color w:val="333333"/>
        <w:sz w:val="14"/>
        <w:szCs w:val="14"/>
      </w:rPr>
      <w:t>(p) 913-850-6630  (f) 913-850-6635</w:t>
    </w:r>
  </w:p>
  <w:p>
    <w:pPr>
      <w:pStyle w:val="Header"/>
      <w:jc w:val="right"/>
      <w:rPr>
        <w:sz w:val="18"/>
        <w:szCs w:val="18"/>
      </w:rPr>
    </w:pPr>
    <w:r>
      <w:rPr>
        <w:noProof/>
        <w:sz w:val="18"/>
        <w:szCs w:val="18"/>
      </w:rPr>
      <mc:AlternateContent>
        <mc:Choice Requires="wps">
          <w:drawing>
            <wp:anchor distT="0" distB="0" distL="114300" distR="114300" behindDoc="0" locked="0" layoutInCell="1" simplePos="0" relativeHeight="251658240" allowOverlap="1" hidden="0">
              <wp:simplePos x="0" y="0"/>
              <wp:positionH relativeFrom="column">
                <wp:posOffset>-129540</wp:posOffset>
              </wp:positionH>
              <wp:positionV relativeFrom="paragraph">
                <wp:posOffset>42544</wp:posOffset>
              </wp:positionV>
              <wp:extent cx="6307455" cy="0"/>
              <wp:effectExtent l="4762" t="4762" r="4762" b="4762"/>
              <wp:wrapNone/>
              <wp:docPr id="2055" name="shape2055"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7455" cy="0"/>
                      </a:xfrm>
                      <a:prstGeom prst="line">
                        <a:avLst/>
                      </a:prstGeom>
                      <a:noFill/>
                      <a:ln>
                        <a:solidFill>
                          <a:srgbClr val="333333"/>
                        </a:solidFill>
                      </a:ln>
                    </wps:spPr>
                    <wps:bodyPr rot="0" vert="horz" wrap="square" lIns="91440" tIns="45720" rIns="91440" bIns="45720" anchor="t">
                      <a:noAutofit/>
                    </wps:bodyPr>
                  </wps:wsp>
                </a:graphicData>
              </a:graphic>
            </wp:anchor>
          </w:drawing>
        </mc:Choice>
        <mc:Fallback>
          <w:pict>
            <v:line id="line 2" style="position:absolute;margin-left:-10.2pt;margin-top:3.34992pt;width:496.65pt;height:0pt;mso-position-horizontal-relative:column;mso-position-vertical-relative:line;v-text-anchor:top;mso-wrap-style:square;z-index:251658240" o:allowincell="t" filled="f" fillcolor="#ffffff" stroked="t" strokecolor="#333333" strokeweight="0.75pt">
              <v:stroke joinstyle="round"/>
            </v:lin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fffffffb"/>
    <w:multiLevelType w:val="multilevel"/>
    <w:tmpl w:val="ed824124"/>
    <w:lvl w:ilvl="0">
      <w:start w:val="1"/>
      <w:lvlText w:val="%1"/>
      <w:lvlJc w:val="left"/>
      <w:pStyle w:val="Heading1"/>
      <w:pPr>
        <w:ind w:left="432" w:hanging="432"/>
        <w:tabs>
          <w:tab w:val="num" w:pos="432"/>
        </w:tabs>
      </w:pPr>
      <w:rPr>
        <w:rFonts w:hint="default"/>
      </w:rPr>
    </w:lvl>
    <w:lvl w:ilvl="1">
      <w:start w:val="1"/>
      <w:lvlText w:val="%1.%2"/>
      <w:lvlJc w:val="left"/>
      <w:pStyle w:val="Heading2"/>
      <w:pPr>
        <w:ind w:left="576" w:hanging="576"/>
        <w:tabs>
          <w:tab w:val="num" w:pos="576"/>
        </w:tabs>
      </w:pPr>
      <w:rPr>
        <w:rFonts w:hint="default"/>
      </w:rPr>
    </w:lvl>
    <w:lvl w:ilvl="2">
      <w:start w:val="1"/>
      <w:lvlText w:val="%1.%2.%3"/>
      <w:lvlJc w:val="left"/>
      <w:pStyle w:val="Heading3"/>
      <w:pPr>
        <w:ind w:left="720" w:hanging="720"/>
        <w:tabs>
          <w:tab w:val="num" w:pos="720"/>
        </w:tabs>
      </w:pPr>
      <w:rPr>
        <w:rFonts w:hint="default"/>
      </w:rPr>
    </w:lvl>
    <w:lvl w:ilvl="3">
      <w:start w:val="1"/>
      <w:lvlText w:val="%1.%2.%3.%4"/>
      <w:lvlJc w:val="left"/>
      <w:pStyle w:val="Heading4"/>
      <w:pPr>
        <w:ind w:left="864" w:hanging="864"/>
        <w:tabs>
          <w:tab w:val="num" w:pos="864"/>
        </w:tabs>
      </w:pPr>
      <w:rPr>
        <w:rFonts w:hint="default"/>
      </w:rPr>
    </w:lvl>
    <w:lvl w:ilvl="4">
      <w:start w:val="1"/>
      <w:lvlText w:val="%1.%2.%3.%4.%5"/>
      <w:lvlJc w:val="left"/>
      <w:pStyle w:val="Heading5"/>
      <w:pPr>
        <w:ind w:left="1008" w:hanging="1008"/>
        <w:tabs>
          <w:tab w:val="num" w:pos="1008"/>
        </w:tabs>
      </w:pPr>
      <w:rPr>
        <w:rFonts w:hint="default"/>
      </w:rPr>
    </w:lvl>
    <w:lvl w:ilvl="5">
      <w:start w:val="1"/>
      <w:lvlText w:val="%1.%2.%3.%4.%5.%6"/>
      <w:lvlJc w:val="left"/>
      <w:pStyle w:val="Heading6"/>
      <w:pPr>
        <w:ind w:left="1152" w:hanging="1152"/>
        <w:tabs>
          <w:tab w:val="num" w:pos="1152"/>
        </w:tabs>
      </w:pPr>
      <w:rPr>
        <w:rFonts w:hint="default"/>
      </w:rPr>
    </w:lvl>
    <w:lvl w:ilvl="6">
      <w:start w:val="1"/>
      <w:lvlText w:val="%1.%2.%3.%4.%5.%6.%7"/>
      <w:lvlJc w:val="left"/>
      <w:pStyle w:val="Heading7"/>
      <w:pPr>
        <w:ind w:left="1296" w:hanging="1296"/>
        <w:tabs>
          <w:tab w:val="num" w:pos="1296"/>
        </w:tabs>
      </w:pPr>
      <w:rPr>
        <w:rFonts w:hint="default"/>
      </w:rPr>
    </w:lvl>
    <w:lvl w:ilvl="7">
      <w:start w:val="1"/>
      <w:lvlText w:val="%1.%2.%3.%4.%5.%6.%7.%8"/>
      <w:lvlJc w:val="left"/>
      <w:pStyle w:val="Heading8"/>
      <w:pPr>
        <w:ind w:left="1440" w:hanging="1440"/>
        <w:tabs>
          <w:tab w:val="num" w:pos="1440"/>
        </w:tabs>
      </w:pPr>
      <w:rPr>
        <w:rFonts w:hint="default"/>
      </w:rPr>
    </w:lvl>
    <w:lvl w:ilvl="8">
      <w:start w:val="1"/>
      <w:lvlText w:val="%1.%2.%3.%4.%5.%6.%7.%8.%9"/>
      <w:lvlJc w:val="left"/>
      <w:pStyle w:val="Heading9"/>
      <w:pPr>
        <w:ind w:left="1584" w:hanging="1584"/>
        <w:tabs>
          <w:tab w:val="num" w:pos="1584"/>
        </w:tabs>
      </w:pPr>
      <w:rPr>
        <w:rFonts w:hint="default"/>
      </w:rPr>
    </w:lvl>
  </w:abstractNum>
  <w:abstractNum w:abstractNumId="1">
    <w:nsid w:val="4b703d39"/>
    <w:multiLevelType w:val="hybridMultilevel"/>
    <w:tmpl w:val="b0ae994c"/>
    <w:lvl w:ilvl="0" w:tplc="4090001">
      <w:start w:val="1"/>
      <w:numFmt w:val="bullet"/>
      <w:lvlText w:val=""/>
      <w:lvlJc w:val="left"/>
      <w:pPr>
        <w:ind w:left="720" w:hanging="360"/>
      </w:pPr>
      <w:rPr>
        <w:rFonts w:ascii="Symbol" w:hAnsi="Symbol" w:hint="default"/>
      </w:rPr>
    </w:lvl>
    <w:lvl w:ilvl="1" w:tplc="4090003">
      <w:start w:val="1"/>
      <w:numFmt w:val="bullet"/>
      <w:lvlText w:val="o"/>
      <w:lvlJc w:val="left"/>
      <w:pPr>
        <w:ind w:left="1440" w:hanging="360"/>
      </w:pPr>
      <w:rPr>
        <w:rFonts w:ascii="Courier New" w:hAnsi="Courier New" w:hint="default"/>
      </w:rPr>
    </w:lvl>
    <w:lvl w:ilvl="2" w:tplc="4090005">
      <w:start w:val="1"/>
      <w:numFmt w:val="bullet"/>
      <w:lvlText w:val=""/>
      <w:lvlJc w:val="left"/>
      <w:pPr>
        <w:ind w:left="2160" w:hanging="360"/>
      </w:pPr>
      <w:rPr>
        <w:rFonts w:ascii="Wingdings" w:hAnsi="Wingdings" w:hint="default"/>
      </w:rPr>
    </w:lvl>
    <w:lvl w:ilvl="3" w:tplc="4090001">
      <w:start w:val="1"/>
      <w:numFmt w:val="bullet"/>
      <w:lvlText w:val=""/>
      <w:lvlJc w:val="left"/>
      <w:pPr>
        <w:ind w:left="2880" w:hanging="360"/>
      </w:pPr>
      <w:rPr>
        <w:rFonts w:ascii="Symbol" w:hAnsi="Symbol" w:hint="default"/>
      </w:rPr>
    </w:lvl>
    <w:lvl w:ilvl="4" w:tplc="4090003">
      <w:start w:val="1"/>
      <w:numFmt w:val="bullet"/>
      <w:lvlText w:val="o"/>
      <w:lvlJc w:val="left"/>
      <w:pPr>
        <w:ind w:left="3600" w:hanging="360"/>
      </w:pPr>
      <w:rPr>
        <w:rFonts w:ascii="Courier New" w:hAnsi="Courier New" w:hint="default"/>
      </w:rPr>
    </w:lvl>
    <w:lvl w:ilvl="5" w:tplc="4090005">
      <w:start w:val="1"/>
      <w:numFmt w:val="bullet"/>
      <w:lvlText w:val=""/>
      <w:lvlJc w:val="left"/>
      <w:pPr>
        <w:ind w:left="4320" w:hanging="360"/>
      </w:pPr>
      <w:rPr>
        <w:rFonts w:ascii="Wingdings" w:hAnsi="Wingdings" w:hint="default"/>
      </w:rPr>
    </w:lvl>
    <w:lvl w:ilvl="6" w:tplc="4090001">
      <w:start w:val="1"/>
      <w:numFmt w:val="bullet"/>
      <w:lvlText w:val=""/>
      <w:lvlJc w:val="left"/>
      <w:pPr>
        <w:ind w:left="5040" w:hanging="360"/>
      </w:pPr>
      <w:rPr>
        <w:rFonts w:ascii="Symbol" w:hAnsi="Symbol" w:hint="default"/>
      </w:rPr>
    </w:lvl>
    <w:lvl w:ilvl="7" w:tplc="4090003">
      <w:start w:val="1"/>
      <w:numFmt w:val="bullet"/>
      <w:lvlText w:val="o"/>
      <w:lvlJc w:val="left"/>
      <w:pPr>
        <w:ind w:left="5760" w:hanging="360"/>
      </w:pPr>
      <w:rPr>
        <w:rFonts w:ascii="Courier New" w:hAnsi="Courier New" w:hint="default"/>
      </w:rPr>
    </w:lvl>
    <w:lvl w:ilvl="8" w:tplc="4090005">
      <w:start w:val="1"/>
      <w:numFmt w:val="bullet"/>
      <w:lvlText w:val=""/>
      <w:lvlJc w:val="left"/>
      <w:pPr>
        <w:ind w:left="6480" w:hanging="360"/>
      </w:pPr>
      <w:rPr>
        <w:rFonts w:ascii="Wingdings" w:hAnsi="Wingdings" w:hint="default"/>
      </w:rPr>
    </w:lvl>
  </w:abstractNum>
  <w:abstractNum w:abstractNumId="2">
    <w:nsid w:val="7794396d"/>
    <w:multiLevelType w:val="hybridMultilevel"/>
    <w:tmpl w:val="b7409ea6"/>
    <w:lvl w:ilvl="0" w:tplc="4090001">
      <w:start w:val="1"/>
      <w:numFmt w:val="bullet"/>
      <w:lvlText w:val=""/>
      <w:lvlJc w:val="left"/>
      <w:pPr>
        <w:ind w:left="720" w:hanging="360"/>
      </w:pPr>
      <w:rPr>
        <w:rFonts w:ascii="Symbol" w:hAnsi="Symbol" w:hint="default"/>
      </w:rPr>
    </w:lvl>
    <w:lvl w:ilvl="1" w:tentative="on" w:tplc="4090003">
      <w:start w:val="1"/>
      <w:numFmt w:val="bullet"/>
      <w:lvlText w:val="o"/>
      <w:lvlJc w:val="left"/>
      <w:pPr>
        <w:ind w:left="1440" w:hanging="360"/>
      </w:pPr>
      <w:rPr>
        <w:rFonts w:ascii="Courier New" w:hAnsi="Courier New" w:cs="Courier New" w:hint="default"/>
      </w:rPr>
    </w:lvl>
    <w:lvl w:ilvl="2" w:tentative="on" w:tplc="4090005">
      <w:start w:val="1"/>
      <w:numFmt w:val="bullet"/>
      <w:lvlText w:val=""/>
      <w:lvlJc w:val="left"/>
      <w:pPr>
        <w:ind w:left="2160" w:hanging="360"/>
      </w:pPr>
      <w:rPr>
        <w:rFonts w:ascii="Wingdings" w:hAnsi="Wingdings" w:hint="default"/>
      </w:rPr>
    </w:lvl>
    <w:lvl w:ilvl="3" w:tentative="on" w:tplc="4090001">
      <w:start w:val="1"/>
      <w:numFmt w:val="bullet"/>
      <w:lvlText w:val=""/>
      <w:lvlJc w:val="left"/>
      <w:pPr>
        <w:ind w:left="2880" w:hanging="360"/>
      </w:pPr>
      <w:rPr>
        <w:rFonts w:ascii="Symbol" w:hAnsi="Symbol" w:hint="default"/>
      </w:rPr>
    </w:lvl>
    <w:lvl w:ilvl="4" w:tentative="on" w:tplc="4090003">
      <w:start w:val="1"/>
      <w:numFmt w:val="bullet"/>
      <w:lvlText w:val="o"/>
      <w:lvlJc w:val="left"/>
      <w:pPr>
        <w:ind w:left="3600" w:hanging="360"/>
      </w:pPr>
      <w:rPr>
        <w:rFonts w:ascii="Courier New" w:hAnsi="Courier New" w:cs="Courier New" w:hint="default"/>
      </w:rPr>
    </w:lvl>
    <w:lvl w:ilvl="5" w:tentative="on" w:tplc="4090005">
      <w:start w:val="1"/>
      <w:numFmt w:val="bullet"/>
      <w:lvlText w:val=""/>
      <w:lvlJc w:val="left"/>
      <w:pPr>
        <w:ind w:left="4320" w:hanging="360"/>
      </w:pPr>
      <w:rPr>
        <w:rFonts w:ascii="Wingdings" w:hAnsi="Wingdings" w:hint="default"/>
      </w:rPr>
    </w:lvl>
    <w:lvl w:ilvl="6" w:tentative="on" w:tplc="4090001">
      <w:start w:val="1"/>
      <w:numFmt w:val="bullet"/>
      <w:lvlText w:val=""/>
      <w:lvlJc w:val="left"/>
      <w:pPr>
        <w:ind w:left="5040" w:hanging="360"/>
      </w:pPr>
      <w:rPr>
        <w:rFonts w:ascii="Symbol" w:hAnsi="Symbol" w:hint="default"/>
      </w:rPr>
    </w:lvl>
    <w:lvl w:ilvl="7" w:tentative="on" w:tplc="4090003">
      <w:start w:val="1"/>
      <w:numFmt w:val="bullet"/>
      <w:lvlText w:val="o"/>
      <w:lvlJc w:val="left"/>
      <w:pPr>
        <w:ind w:left="5760" w:hanging="360"/>
      </w:pPr>
      <w:rPr>
        <w:rFonts w:ascii="Courier New" w:hAnsi="Courier New" w:cs="Courier New" w:hint="default"/>
      </w:rPr>
    </w:lvl>
    <w:lvl w:ilvl="8" w:tentative="on" w:tplc="4090005">
      <w:start w:val="1"/>
      <w:numFmt w:val="bullet"/>
      <w:lvlText w:val=""/>
      <w:lvlJc w:val="left"/>
      <w:pPr>
        <w:ind w:left="6480" w:hanging="360"/>
      </w:pPr>
      <w:rPr>
        <w:rFonts w:ascii="Wingdings" w:hAnsi="Wingdings" w:hint="default"/>
      </w:rPr>
    </w:lvl>
  </w:abstractNum>
  <w:abstractNum w:abstractNumId="3">
    <w:nsid w:val="74966f0c"/>
    <w:multiLevelType w:val="hybridMultilevel"/>
    <w:tmpl w:val="b8727a82"/>
    <w:lvl w:ilvl="0" w:tplc="498847ee">
      <w:start w:val="1"/>
      <w:numFmt w:val="bullet"/>
      <w:lvlText w:val=""/>
      <w:lvlJc w:val="left"/>
      <w:pPr>
        <w:ind w:left="720" w:hanging="360"/>
      </w:pPr>
      <w:rPr>
        <w:rFonts w:ascii="Symbol" w:hAnsi="Symbol" w:hint="default"/>
      </w:rPr>
    </w:lvl>
    <w:lvl w:ilvl="1" w:tentative="on" w:tplc="4090003">
      <w:start w:val="1"/>
      <w:numFmt w:val="bullet"/>
      <w:lvlText w:val="o"/>
      <w:lvlJc w:val="left"/>
      <w:pPr>
        <w:ind w:left="1440" w:hanging="360"/>
      </w:pPr>
      <w:rPr>
        <w:rFonts w:ascii="Courier New" w:hAnsi="Courier New" w:cs="Courier New" w:hint="default"/>
      </w:rPr>
    </w:lvl>
    <w:lvl w:ilvl="2" w:tentative="on" w:tplc="4090005">
      <w:start w:val="1"/>
      <w:numFmt w:val="bullet"/>
      <w:lvlText w:val=""/>
      <w:lvlJc w:val="left"/>
      <w:pPr>
        <w:ind w:left="2160" w:hanging="360"/>
      </w:pPr>
      <w:rPr>
        <w:rFonts w:ascii="Wingdings" w:hAnsi="Wingdings" w:hint="default"/>
      </w:rPr>
    </w:lvl>
    <w:lvl w:ilvl="3" w:tentative="on" w:tplc="4090001">
      <w:start w:val="1"/>
      <w:numFmt w:val="bullet"/>
      <w:lvlText w:val=""/>
      <w:lvlJc w:val="left"/>
      <w:pPr>
        <w:ind w:left="2880" w:hanging="360"/>
      </w:pPr>
      <w:rPr>
        <w:rFonts w:ascii="Symbol" w:hAnsi="Symbol" w:hint="default"/>
      </w:rPr>
    </w:lvl>
    <w:lvl w:ilvl="4" w:tentative="on" w:tplc="4090003">
      <w:start w:val="1"/>
      <w:numFmt w:val="bullet"/>
      <w:lvlText w:val="o"/>
      <w:lvlJc w:val="left"/>
      <w:pPr>
        <w:ind w:left="3600" w:hanging="360"/>
      </w:pPr>
      <w:rPr>
        <w:rFonts w:ascii="Courier New" w:hAnsi="Courier New" w:cs="Courier New" w:hint="default"/>
      </w:rPr>
    </w:lvl>
    <w:lvl w:ilvl="5" w:tentative="on" w:tplc="4090005">
      <w:start w:val="1"/>
      <w:numFmt w:val="bullet"/>
      <w:lvlText w:val=""/>
      <w:lvlJc w:val="left"/>
      <w:pPr>
        <w:ind w:left="4320" w:hanging="360"/>
      </w:pPr>
      <w:rPr>
        <w:rFonts w:ascii="Wingdings" w:hAnsi="Wingdings" w:hint="default"/>
      </w:rPr>
    </w:lvl>
    <w:lvl w:ilvl="6" w:tentative="on" w:tplc="4090001">
      <w:start w:val="1"/>
      <w:numFmt w:val="bullet"/>
      <w:lvlText w:val=""/>
      <w:lvlJc w:val="left"/>
      <w:pPr>
        <w:ind w:left="5040" w:hanging="360"/>
      </w:pPr>
      <w:rPr>
        <w:rFonts w:ascii="Symbol" w:hAnsi="Symbol" w:hint="default"/>
      </w:rPr>
    </w:lvl>
    <w:lvl w:ilvl="7" w:tentative="on" w:tplc="4090003">
      <w:start w:val="1"/>
      <w:numFmt w:val="bullet"/>
      <w:lvlText w:val="o"/>
      <w:lvlJc w:val="left"/>
      <w:pPr>
        <w:ind w:left="5760" w:hanging="360"/>
      </w:pPr>
      <w:rPr>
        <w:rFonts w:ascii="Courier New" w:hAnsi="Courier New" w:cs="Courier New" w:hint="default"/>
      </w:rPr>
    </w:lvl>
    <w:lvl w:ilvl="8" w:tentative="on" w:tplc="409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720"/>
  <w:hyphenationZone w:val="3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rawingGridHorizontalSpacing w:val="180"/>
  <w:drawingGridVerticalSpacing w:val="180"/>
  <w:displayHorizontalDrawingGridEvery w:val="1"/>
  <w:displayVerticalDrawingGridEvery w:val="1"/>
  <w:noPunctuationKerning/>
  <w:documentProtection w:edit="" w:enforcement="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en-US" w:bidi="ar-SA"/>
        <w:rFonts w:ascii="Times New Roman" w:eastAsia="Times New Roman" w:hAnsi="Times New Roman" w:cs="Times New Roman"/>
      </w:rPr>
    </w:rPrDefault>
    <w:pPrDefault>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53"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53"/>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uiPriority="153"/>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default="1" w:styleId="Normal">
    <w:name w:val="Normal"/>
    <w:qFormat/>
    <w:rPr>
      <w:sz w:val="24"/>
      <w:szCs w:val="24"/>
    </w:rPr>
  </w:style>
  <w:style w:type="paragraph" w:styleId="Heading1">
    <w:name w:val="heading 1"/>
    <w:basedOn w:val="Normal"/>
    <w:next w:val="Normal"/>
    <w:link w:val="Heading1Char"/>
    <w:qFormat/>
    <w:pPr>
      <w:keepNext/>
      <w:keepLines/>
      <w:outlineLvl w:val="0"/>
      <w:jc w:val="both"/>
      <w:numPr>
        <w:ilvl w:val="0"/>
        <w:numId w:val="4"/>
      </w:numPr>
    </w:pPr>
    <w:rPr>
      <w:rFonts w:ascii="Arial" w:eastAsia="Calibri" w:hAnsi="Arial"/>
      <w:b/>
      <w:color w:val="984806"/>
      <w:sz w:val="36"/>
      <w:szCs w:val="20"/>
    </w:rPr>
  </w:style>
  <w:style w:type="paragraph" w:styleId="Heading2">
    <w:name w:val="heading 2"/>
    <w:basedOn w:val="Normal"/>
    <w:next w:val="Normal"/>
    <w:link w:val="Heading2Char"/>
    <w:qFormat/>
    <w:pPr>
      <w:keepNext/>
      <w:keepLines/>
      <w:outlineLvl w:val="1"/>
      <w:jc w:val="both"/>
      <w:numPr>
        <w:ilvl w:val="1"/>
        <w:numId w:val="4"/>
      </w:numPr>
    </w:pPr>
    <w:rPr>
      <w:rFonts w:ascii="Arial" w:eastAsia="Calibri" w:hAnsi="Arial"/>
      <w:b/>
      <w:color w:val="948A54"/>
      <w:sz w:val="30"/>
      <w:szCs w:val="20"/>
    </w:rPr>
  </w:style>
  <w:style w:type="paragraph" w:styleId="Heading3">
    <w:name w:val="heading 3"/>
    <w:basedOn w:val="Normal"/>
    <w:next w:val="Normal"/>
    <w:qFormat/>
    <w:pPr>
      <w:keepNext/>
      <w:keepLines/>
      <w:outlineLvl w:val="2"/>
      <w:jc w:val="both"/>
      <w:numPr>
        <w:ilvl w:val="2"/>
        <w:numId w:val="4"/>
      </w:numPr>
    </w:pPr>
    <w:rPr>
      <w:rFonts w:ascii="Arial" w:eastAsia="Calibri" w:hAnsi="Arial"/>
      <w:b/>
      <w:color w:val="E36C0A"/>
      <w:szCs w:val="20"/>
    </w:rPr>
  </w:style>
  <w:style w:type="paragraph" w:styleId="Heading4">
    <w:name w:val="heading 4"/>
    <w:basedOn w:val="Normal"/>
    <w:next w:val="Normal"/>
    <w:qFormat/>
    <w:pPr>
      <w:keepNext/>
      <w:keepLines/>
      <w:outlineLvl w:val="3"/>
      <w:jc w:val="both"/>
      <w:numPr>
        <w:ilvl w:val="3"/>
        <w:numId w:val="4"/>
      </w:numPr>
    </w:pPr>
    <w:rPr>
      <w:rFonts w:ascii="Arial" w:eastAsia="Calibri" w:hAnsi="Arial"/>
      <w:color w:val="984806"/>
      <w:szCs w:val="20"/>
    </w:rPr>
  </w:style>
  <w:style w:type="paragraph" w:styleId="Heading5">
    <w:name w:val="heading 5"/>
    <w:basedOn w:val="Normal"/>
    <w:next w:val="Normal"/>
    <w:qFormat/>
    <w:pPr>
      <w:keepNext/>
      <w:keepLines/>
      <w:outlineLvl w:val="4"/>
      <w:jc w:val="both"/>
      <w:numPr>
        <w:ilvl w:val="4"/>
        <w:numId w:val="4"/>
      </w:numPr>
    </w:pPr>
    <w:rPr>
      <w:rFonts w:ascii="Arial" w:eastAsia="Calibri" w:hAnsi="Arial"/>
      <w:i/>
      <w:color w:val="984806"/>
      <w:szCs w:val="20"/>
    </w:rPr>
  </w:style>
  <w:style w:type="paragraph" w:styleId="Heading6">
    <w:name w:val="heading 6"/>
    <w:basedOn w:val="Normal"/>
    <w:next w:val="Normal"/>
    <w:qFormat/>
    <w:pPr>
      <w:keepNext/>
      <w:keepLines/>
      <w:outlineLvl w:val="5"/>
      <w:jc w:val="both"/>
      <w:numPr>
        <w:ilvl w:val="5"/>
        <w:numId w:val="4"/>
      </w:numPr>
    </w:pPr>
    <w:rPr>
      <w:rFonts w:ascii="Arial" w:eastAsia="Calibri" w:hAnsi="Arial"/>
      <w:szCs w:val="20"/>
    </w:rPr>
  </w:style>
  <w:style w:type="paragraph" w:styleId="Heading7">
    <w:name w:val="heading 7"/>
    <w:basedOn w:val="Normal"/>
    <w:next w:val="Normal"/>
    <w:qFormat/>
    <w:pPr>
      <w:keepNext/>
      <w:keepLines/>
      <w:outlineLvl w:val="6"/>
      <w:jc w:val="both"/>
      <w:numPr>
        <w:ilvl w:val="6"/>
        <w:numId w:val="4"/>
      </w:numPr>
      <w:spacing w:before="240" w:line="280" w:lineRule="exact"/>
    </w:pPr>
    <w:rPr>
      <w:rFonts w:ascii="Arial" w:eastAsia="Calibri" w:hAnsi="Arial"/>
      <w:sz w:val="22"/>
      <w:szCs w:val="20"/>
    </w:rPr>
  </w:style>
  <w:style w:type="paragraph" w:styleId="Heading8">
    <w:name w:val="heading 8"/>
    <w:basedOn w:val="Normal"/>
    <w:next w:val="Normal"/>
    <w:qFormat/>
    <w:pPr>
      <w:keepNext/>
      <w:keepLines/>
      <w:outlineLvl w:val="7"/>
      <w:jc w:val="both"/>
      <w:numPr>
        <w:ilvl w:val="7"/>
        <w:numId w:val="4"/>
      </w:numPr>
      <w:spacing w:before="240" w:line="280" w:lineRule="exact"/>
    </w:pPr>
    <w:rPr>
      <w:rFonts w:ascii="Arial" w:eastAsia="Calibri" w:hAnsi="Arial"/>
      <w:i/>
      <w:sz w:val="22"/>
      <w:szCs w:val="20"/>
    </w:rPr>
  </w:style>
  <w:style w:type="paragraph" w:styleId="Heading9">
    <w:name w:val="heading 9"/>
    <w:basedOn w:val="Normal"/>
    <w:next w:val="Normal"/>
    <w:qFormat/>
    <w:pPr>
      <w:keepNext/>
      <w:keepLines/>
      <w:outlineLvl w:val="8"/>
      <w:jc w:val="right"/>
      <w:numPr>
        <w:ilvl w:val="8"/>
        <w:numId w:val="4"/>
      </w:numPr>
    </w:pPr>
    <w:rPr>
      <w:rFonts w:ascii="Arial" w:eastAsia="Calibri" w:hAnsi="Arial"/>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lang w:val="en-US" w:eastAsia="en-US" w:bidi="ar-SA"/>
      <w:rFonts w:ascii="Arial" w:eastAsia="Calibri" w:hAnsi="Arial"/>
      <w:b/>
      <w:color w:val="984806"/>
      <w:sz w:val="36"/>
    </w:rPr>
  </w:style>
  <w:style w:type="paragraph" w:styleId="BodyText">
    <w:name w:val="Body Text"/>
    <w:basedOn w:val="Normal"/>
    <w:pPr>
      <w:spacing w:after="120"/>
    </w:pPr>
  </w:style>
  <w:style w:type="character" w:customStyle="1" w:styleId="Heading2Char">
    <w:name w:val="Heading 2 Char"/>
    <w:basedOn w:val="DefaultParagraphFont"/>
    <w:link w:val="Heading2"/>
    <w:rPr>
      <w:lang w:val="en-US" w:eastAsia="en-US" w:bidi="ar-SA"/>
      <w:rFonts w:ascii="Arial" w:eastAsia="Calibri" w:hAnsi="Arial"/>
      <w:b/>
      <w:color w:val="948A54"/>
      <w:sz w:val="3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DocumentMap">
    <w:name w:val="Document Map"/>
    <w:basedOn w:val="Normal"/>
    <w:semiHidden/>
    <w:pPr>
      <w:shd w:val="clear" w:color="auto" w:fill="000080"/>
    </w:pPr>
    <w:rPr>
      <w:rFonts w:ascii="Tahoma" w:hAnsi="Tahoma" w:cs="Tahoma"/>
      <w:sz w:val="20"/>
      <w:szCs w:val="20"/>
    </w:rPr>
  </w:style>
  <w:style w:type="character" w:styleId="Hyperlink">
    <w:name w:val="Hyperlink"/>
    <w:basedOn w:val="DefaultParagraphFont"/>
    <w:rPr>
      <w:color w:val="0000FF"/>
      <w:u w:val="single" w:color="auto"/>
    </w:r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paragraph" w:styleId="NormalWeb">
    <w:name w:val="Normal (Web)"/>
    <w:uiPriority w:val="99"/>
    <w:basedOn w:val="Normal"/>
    <w:pPr>
      <w:spacing w:after="100" w:afterAutospacing="1" w:before="100" w:beforeAutospacing="1"/>
    </w:pPr>
  </w:style>
  <w:style w:type="paragraph" w:customStyle="1" w:styleId="datafield11pt">
    <w:name w:val="datafield11pt"/>
    <w:basedOn w:val="Normal"/>
    <w:pPr>
      <w:autoSpaceDE w:val="off"/>
      <w:autoSpaceDN w:val="off"/>
      <w:spacing w:line="300" w:lineRule="atLeast"/>
    </w:pPr>
    <w:rPr>
      <w:rFonts w:ascii="Arial" w:hAnsi="Arial" w:cs="Arial"/>
      <w:sz w:val="22"/>
      <w:szCs w:val="22"/>
    </w:rPr>
  </w:style>
  <w:style w:type="paragraph" w:styleId="ListParagraph">
    <w:name w:val="List Paragraph"/>
    <w:uiPriority w:val="34"/>
    <w:basedOn w:val="Normal"/>
    <w:qFormat/>
    <w:pPr>
      <w:ind w:left="720"/>
      <w:contextualSpacing/>
    </w:p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rPr>
      <w:sz w:val="20"/>
      <w:szCs w:val="20"/>
    </w:rPr>
  </w:style>
  <w:style w:type="character" w:customStyle="1" w:styleId="CommentTextChar">
    <w:name w:val="Comment Text Char"/>
    <w:basedOn w:val="DefaultParagraphFont"/>
    <w:link w:val="CommentText"/>
    <w:semiHidden/>
  </w:style>
  <w:style w:type="paragraph" w:customStyle="1" w:styleId="Revision">
    <w:name w:val="Revision"/>
    <w:uiPriority w:val="99"/>
    <w:hidden/>
    <w:semiHidden/>
    <w:rPr>
      <w:sz w:val="24"/>
      <w:szCs w:val="24"/>
    </w:rPr>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header" Target="header1.xml" /><Relationship Id="rId5" Type="http://schemas.openxmlformats.org/officeDocument/2006/relationships/header" Target="header2.xml" /><Relationship Id="rId17" Type="http://schemas.openxmlformats.org/officeDocument/2006/relationships/header" Target="header3.xml" /><Relationship Id="rId18" Type="http://schemas.openxmlformats.org/officeDocument/2006/relationships/header" Target="header4.xml" /><Relationship Id="rId62" Type="http://schemas.openxmlformats.org/officeDocument/2006/relationships/header" Target="header5.xml" /><Relationship Id="rId2" Type="http://schemas.openxmlformats.org/officeDocument/2006/relationships/footer" Target="footer1.xml" /><Relationship Id="rId3" Type="http://schemas.openxmlformats.org/officeDocument/2006/relationships/image" Target="media/image1.png" /><Relationship Id="rId4" Type="http://schemas.openxmlformats.org/officeDocument/2006/relationships/image" Target="media/image2.jpeg" /><Relationship Id="rId6" Type="http://schemas.openxmlformats.org/officeDocument/2006/relationships/image" Target="media/image3.pn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png"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emf" /><Relationship Id="rId16" Type="http://schemas.openxmlformats.org/officeDocument/2006/relationships/image" Target="media/image13.png" /><Relationship Id="rId19" Type="http://schemas.openxmlformats.org/officeDocument/2006/relationships/image" Target="media/image14.emf" /><Relationship Id="rId20" Type="http://schemas.openxmlformats.org/officeDocument/2006/relationships/image" Target="media/image15.png" /><Relationship Id="rId21" Type="http://schemas.openxmlformats.org/officeDocument/2006/relationships/image" Target="media/image16.jpeg" /><Relationship Id="rId22" Type="http://schemas.openxmlformats.org/officeDocument/2006/relationships/image" Target="media/image17.png" /><Relationship Id="rId23" Type="http://schemas.openxmlformats.org/officeDocument/2006/relationships/image" Target="media/image18.png" /><Relationship Id="rId24" Type="http://schemas.openxmlformats.org/officeDocument/2006/relationships/image" Target="media/image19.png" /><Relationship Id="rId25" Type="http://schemas.openxmlformats.org/officeDocument/2006/relationships/image" Target="media/image20.png" /><Relationship Id="rId26" Type="http://schemas.openxmlformats.org/officeDocument/2006/relationships/image" Target="media/image21.png" /><Relationship Id="rId27" Type="http://schemas.openxmlformats.org/officeDocument/2006/relationships/image" Target="media/image22.png" /><Relationship Id="rId28" Type="http://schemas.openxmlformats.org/officeDocument/2006/relationships/image" Target="media/image23.png" /><Relationship Id="rId29" Type="http://schemas.openxmlformats.org/officeDocument/2006/relationships/image" Target="media/image24.emf" /><Relationship Id="rId30" Type="http://schemas.openxmlformats.org/officeDocument/2006/relationships/image" Target="media/image25.emf" /><Relationship Id="rId31" Type="http://schemas.openxmlformats.org/officeDocument/2006/relationships/image" Target="media/image26.emf" /><Relationship Id="rId32" Type="http://schemas.openxmlformats.org/officeDocument/2006/relationships/image" Target="media/image27.emf" /><Relationship Id="rId33" Type="http://schemas.openxmlformats.org/officeDocument/2006/relationships/image" Target="media/image28.emf" /><Relationship Id="rId34" Type="http://schemas.openxmlformats.org/officeDocument/2006/relationships/image" Target="media/image29.emf" /><Relationship Id="rId35" Type="http://schemas.openxmlformats.org/officeDocument/2006/relationships/image" Target="media/image30.emf" /><Relationship Id="rId36" Type="http://schemas.openxmlformats.org/officeDocument/2006/relationships/image" Target="media/image31.emf" /><Relationship Id="rId37" Type="http://schemas.openxmlformats.org/officeDocument/2006/relationships/image" Target="media/image32.emf" /><Relationship Id="rId38" Type="http://schemas.openxmlformats.org/officeDocument/2006/relationships/image" Target="media/image33.emf" /><Relationship Id="rId39" Type="http://schemas.openxmlformats.org/officeDocument/2006/relationships/image" Target="media/image34.emf" /><Relationship Id="rId40" Type="http://schemas.openxmlformats.org/officeDocument/2006/relationships/image" Target="media/image35.emf" /><Relationship Id="rId41" Type="http://schemas.openxmlformats.org/officeDocument/2006/relationships/image" Target="media/image36.emf" /><Relationship Id="rId42" Type="http://schemas.openxmlformats.org/officeDocument/2006/relationships/image" Target="media/image37.emf" /><Relationship Id="rId43" Type="http://schemas.openxmlformats.org/officeDocument/2006/relationships/image" Target="media/image38.emf" /><Relationship Id="rId44" Type="http://schemas.openxmlformats.org/officeDocument/2006/relationships/image" Target="media/image39.emf" /><Relationship Id="rId45" Type="http://schemas.openxmlformats.org/officeDocument/2006/relationships/image" Target="media/image40.emf" /><Relationship Id="rId46" Type="http://schemas.openxmlformats.org/officeDocument/2006/relationships/image" Target="media/image41.emf" /><Relationship Id="rId47" Type="http://schemas.openxmlformats.org/officeDocument/2006/relationships/image" Target="media/image42.emf" /><Relationship Id="rId48" Type="http://schemas.openxmlformats.org/officeDocument/2006/relationships/image" Target="media/image43.emf" /><Relationship Id="rId49" Type="http://schemas.openxmlformats.org/officeDocument/2006/relationships/image" Target="media/image44.emf" /><Relationship Id="rId50" Type="http://schemas.openxmlformats.org/officeDocument/2006/relationships/image" Target="media/image45.emf" /><Relationship Id="rId51" Type="http://schemas.openxmlformats.org/officeDocument/2006/relationships/image" Target="media/image46.emf" /><Relationship Id="rId52" Type="http://schemas.openxmlformats.org/officeDocument/2006/relationships/image" Target="media/image47.emf" /><Relationship Id="rId53" Type="http://schemas.openxmlformats.org/officeDocument/2006/relationships/image" Target="media/image48.png" /><Relationship Id="rId55" Type="http://schemas.openxmlformats.org/officeDocument/2006/relationships/image" Target="media/image49.png" /><Relationship Id="rId57" Type="http://schemas.openxmlformats.org/officeDocument/2006/relationships/image" Target="media/image50.png" /><Relationship Id="rId59" Type="http://schemas.openxmlformats.org/officeDocument/2006/relationships/image" Target="media/image51.png" /><Relationship Id="rId61" Type="http://schemas.openxmlformats.org/officeDocument/2006/relationships/image" Target="media/image52.png" /><Relationship Id="rId54" Type="http://schemas.openxmlformats.org/officeDocument/2006/relationships/oleObject" Target="embeddings/oleObject1.bin" /><Relationship Id="rId56" Type="http://schemas.openxmlformats.org/officeDocument/2006/relationships/oleObject" Target="embeddings/oleObject2.bin" /><Relationship Id="rId58" Type="http://schemas.openxmlformats.org/officeDocument/2006/relationships/oleObject" Target="embeddings/oleObject3.bin" /><Relationship Id="rId60" Type="http://schemas.openxmlformats.org/officeDocument/2006/relationships/oleObject" Target="embeddings/oleObject4.bin" /><Relationship Id="rId63" Type="http://schemas.openxmlformats.org/officeDocument/2006/relationships/comments" Target="comments.xml" /><Relationship Id="rId64" Type="http://schemas.openxmlformats.org/officeDocument/2006/relationships/styles" Target="styles.xml" /><Relationship Id="rId65" Type="http://schemas.openxmlformats.org/officeDocument/2006/relationships/settings" Target="settings.xml" /><Relationship Id="rId66" Type="http://schemas.openxmlformats.org/officeDocument/2006/relationships/fontTable" Target="fontTable.xml" /><Relationship Id="rId67" Type="http://schemas.openxmlformats.org/officeDocument/2006/relationships/webSettings" Target="webSettings.xml" /><Relationship Id="rId68" Type="http://schemas.openxmlformats.org/officeDocument/2006/relationships/numbering" Target="numbering.xml" /><Relationship Id="rId69" Type="http://schemas.openxmlformats.org/officeDocument/2006/relationships/theme" Target="theme/theme1.xml" /></Relationships>
</file>

<file path=word/_rels/header1.xml.rels><?xml version="1.0" encoding="UTF-8" standalone="yes"?><Relationships xmlns="http://schemas.openxmlformats.org/package/2006/relationships"><Relationship Id="rId1" Type="http://schemas.openxmlformats.org/officeDocument/2006/relationships/image" Target="media/image53.jpeg" /></Relationships>
</file>

<file path=word/_rels/header2.xml.rels><?xml version="1.0" encoding="UTF-8" standalone="yes"?><Relationships xmlns="http://schemas.openxmlformats.org/package/2006/relationships"><Relationship Id="rId1" Type="http://schemas.openxmlformats.org/officeDocument/2006/relationships/image" Target="media/image54.jpeg" /></Relationships>
</file>

<file path=word/_rels/header4.xml.rels><?xml version="1.0" encoding="UTF-8" standalone="yes"?><Relationships xmlns="http://schemas.openxmlformats.org/package/2006/relationships"><Relationship Id="rId1" Type="http://schemas.openxmlformats.org/officeDocument/2006/relationships/image" Target="media/image55.png" /></Relationships>
</file>

<file path=word/_rels/header5.xml.rels><?xml version="1.0" encoding="UTF-8" standalone="yes"?><Relationships xmlns="http://schemas.openxmlformats.org/package/2006/relationships"><Relationship Id="rId1" Type="http://schemas.openxmlformats.org/officeDocument/2006/relationships/image" Target="media/image55.png"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이강수</dc:creator>
  <cp:keywords/>
  <dc:description/>
  <cp:lastModifiedBy>이강수</cp:lastModifiedBy>
  <cp:revision>1</cp:revision>
  <dcterms:created xsi:type="dcterms:W3CDTF">2021-07-14T16:45:00Z</dcterms:created>
  <dcterms:modified xsi:type="dcterms:W3CDTF">2022-08-12T05:08:28Z</dcterms:modified>
  <cp:version>1100.0100.01</cp:version>
</cp:coreProperties>
</file>