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6E8" w:rsidRPr="001906E8" w:rsidRDefault="001906E8" w:rsidP="001906E8">
      <w:pPr>
        <w:spacing w:beforeAutospacing="1" w:after="100" w:afterAutospacing="1" w:line="240" w:lineRule="auto"/>
        <w:outlineLvl w:val="1"/>
        <w:rPr>
          <w:rFonts w:ascii="Times New Roman" w:eastAsia="Times New Roman" w:hAnsi="Times New Roman" w:cs="Times New Roman"/>
          <w:b/>
          <w:bCs/>
          <w:kern w:val="36"/>
          <w:sz w:val="34"/>
          <w:szCs w:val="34"/>
        </w:rPr>
      </w:pPr>
      <w:bookmarkStart w:id="0" w:name="_GoBack"/>
      <w:bookmarkEnd w:id="0"/>
      <w:r w:rsidRPr="001906E8">
        <w:rPr>
          <w:rFonts w:ascii="Times New Roman" w:eastAsia="Times New Roman" w:hAnsi="Times New Roman" w:cs="Times New Roman"/>
          <w:b/>
          <w:bCs/>
          <w:kern w:val="36"/>
          <w:sz w:val="34"/>
          <w:szCs w:val="34"/>
        </w:rPr>
        <w:t xml:space="preserve">BMO Financial Group Reports Net Income of $1.1 Billion for the Second Quarter of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TORONTO, ONTARIO--(Marketwired - May 28, 2014) - BMO Financial Group (TSX: </w:t>
      </w:r>
      <w:hyperlink r:id="rId6" w:history="1">
        <w:r w:rsidRPr="001906E8">
          <w:rPr>
            <w:rFonts w:ascii="Times New Roman" w:eastAsia="Times New Roman" w:hAnsi="Times New Roman" w:cs="Times New Roman"/>
            <w:color w:val="0000FF"/>
            <w:sz w:val="14"/>
            <w:u w:val="single"/>
          </w:rPr>
          <w:t>BMO</w:t>
        </w:r>
      </w:hyperlink>
      <w:r w:rsidRPr="001906E8">
        <w:rPr>
          <w:rFonts w:ascii="Times New Roman" w:eastAsia="Times New Roman" w:hAnsi="Times New Roman" w:cs="Times New Roman"/>
          <w:sz w:val="14"/>
          <w:szCs w:val="14"/>
        </w:rPr>
        <w:t xml:space="preserve">)(NYSE: </w:t>
      </w:r>
      <w:hyperlink r:id="rId7" w:history="1">
        <w:r w:rsidRPr="001906E8">
          <w:rPr>
            <w:rFonts w:ascii="Times New Roman" w:eastAsia="Times New Roman" w:hAnsi="Times New Roman" w:cs="Times New Roman"/>
            <w:color w:val="0000FF"/>
            <w:sz w:val="14"/>
            <w:u w:val="single"/>
          </w:rPr>
          <w:t>BMO</w:t>
        </w:r>
      </w:hyperlink>
      <w:r w:rsidRPr="001906E8">
        <w:rPr>
          <w:rFonts w:ascii="Times New Roman" w:eastAsia="Times New Roman" w:hAnsi="Times New Roman" w:cs="Times New Roman"/>
          <w:sz w:val="14"/>
          <w:szCs w:val="14"/>
        </w:rPr>
        <w:t xml:space="preserve">) and Bank of Montreal -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Financial Results Highlights: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Second Quarter 2014 Compared with Second Quarter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Net income of $1,076 million, up 12%; adjusted net income(1) of $1,097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up 11%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EPS(2) of $1.60, up 14%; adjusted EPS(1, 2) of $1.63, up 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ROE of 14.3%, compared with 14.2%; adjusted ROE(1) of 14.6%, unchanged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Provisions for credit losses of $162 million, compared with $144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adjusted provisions for credit losses(1) of $162 million,</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compared with $109 million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Basel III Common Equity Ratio of 9.7%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Dividend increased by $0.02 or 3% to $0.78 per common share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Year-to-Date 2014 Compared with Year-to-Date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Net income of $2,137 million, up 7%; adjusted net income(1) of $2,180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up 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EPS(2) of $3.18, up 9%; adjusted EPS (1,2)  of $3.24, up 10%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ROE of 14.3%, compared with 14.6%; adjusted ROE(1) of 14.6%, compared</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with 14.7%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Provisions for credit losses of $261 million, compared with $322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adjusted provisions for credit losses(1) of $261 million,</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compared with $205 million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For the second quarter ended April 30, 2014, BMO Financial Group reported net income of $1,076 million or $1.60 per share on a reported basis and net income of $1,097 million or $1.63 per share on an adjusted basis.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"Our customer-focused strategy continued to deliver strong performance and momentum across our operating groups," said Bill Downe, Chief Executive Officer, BMO Financial Group. "Our largest business, Canadian Personal and Commercial banking, had net income growth of 14% year over year and operating leverage above 2% for the third consecutive quarter. Commercial loan growth remained robust in Canada and the United States as we continue to see benefits from our large North American platform.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"Wealth Management and BMO Capital Markets also had strong results in the second quarter, both posting double-digit revenue and earnings growth.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"Shortly after quarter-end, we closed the acquisition of F&amp;C Asset Management. The acquisition advances BMO Global Asset Management's strategy and growth trajectory, effectively doubling client assets. Today, our asset management business has 24 offices that are strategically located across the globe serving an increasingly global client base.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"For the quarter and year to date, continuing business momentum is reflected in positive operating leverage and good balance sheet growth. Adjusted earnings per share in the quarter were up 13% over last year," concluded Mr. Downe.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Results and measures in this document are presented on a GAAP basis.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They are also presented on an adjusted basis that excludes the impact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of certain items. Adjusted results and measures are non-GAAP and are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detailed in the Adjusted Net Income section, and (for all reported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periods) in the Non-GAAP Measures section, where such non-GAAP measures</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and their closest GAAP counterparts are disclosed.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(2)  All Earnings per Share (EPS) measures in this document refer to diluted</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EPS unless specified otherwise. EPS is calculated using net income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after deductions for net income attributable to non-controlling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in subsidiaries and preferred share dividends.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Note: All ratios and percentage changes in this document are based 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unrounded numbers.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Concurrent with the release of results, BMO announced a third quarter 2014 dividend of $0.78 per common share, up $0.02 per share from the preceding quarter and up $0.04 per share from a year ago, equivalent to an annual dividend of $3.12 per common share.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Our complete Second Quarter 2014 Report to Shareholders, including our unaudited interim consolidated financial statements for the period ended April 30, 2014, is available online at </w:t>
      </w:r>
      <w:hyperlink r:id="rId8" w:history="1">
        <w:r w:rsidRPr="001906E8">
          <w:rPr>
            <w:rFonts w:ascii="Times New Roman" w:eastAsia="Times New Roman" w:hAnsi="Times New Roman" w:cs="Times New Roman"/>
            <w:color w:val="0000FF"/>
            <w:sz w:val="14"/>
            <w:u w:val="single"/>
          </w:rPr>
          <w:t>www.bmo.com/investorrelations</w:t>
        </w:r>
      </w:hyperlink>
      <w:r w:rsidRPr="001906E8">
        <w:rPr>
          <w:rFonts w:ascii="Times New Roman" w:eastAsia="Times New Roman" w:hAnsi="Times New Roman" w:cs="Times New Roman"/>
          <w:sz w:val="14"/>
          <w:szCs w:val="14"/>
        </w:rPr>
        <w:t xml:space="preserve"> and at </w:t>
      </w:r>
      <w:hyperlink r:id="rId9" w:history="1">
        <w:r w:rsidRPr="001906E8">
          <w:rPr>
            <w:rFonts w:ascii="Times New Roman" w:eastAsia="Times New Roman" w:hAnsi="Times New Roman" w:cs="Times New Roman"/>
            <w:color w:val="0000FF"/>
            <w:sz w:val="14"/>
            <w:u w:val="single"/>
          </w:rPr>
          <w:t>www.sedar.com</w:t>
        </w:r>
      </w:hyperlink>
      <w:r w:rsidRPr="001906E8">
        <w:rPr>
          <w:rFonts w:ascii="Times New Roman" w:eastAsia="Times New Roman" w:hAnsi="Times New Roman" w:cs="Times New Roman"/>
          <w:sz w:val="14"/>
          <w:szCs w:val="14"/>
        </w:rPr>
        <w:t xml:space="preserv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Total Bank Overview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was $1,076 million for the second quarter of 2014, up $114 million or 12% from a year ago.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net income was $1,097 million, up $113 million or 11% from a year ago. Momentum continued with strong results in Canadian P&amp;C, Wealth Management and BMO Capital Markets, and U.S. P&amp;C results that reflected stable revenue compared to last quarter.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Operating Segment Overview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Canadian P&amp;C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was $480 million, up $59 million or 14% from a year ago. Adjusted net income was $482 million, up $60 million or 14% from the prior year driven by higher revenue and lower credit losses. Revenue was up $87 million or 6% year over year driven by strong balance and fee volumes, partially offset by the impact of lower net interest margin. There was year-over-year loan growth of 9% and deposit growth of 10%. Expenses increased $20 million or 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 personal banking, year-over-year personal loan and deposit growth remains strong at 9% and 10%, respectively. During the quarter we upgraded our BMO mobile banking application, which provides customers with enhanced capabilities including the ability to send Interac® e-Transfers and book branch appointments anywhere, anytime. The updated application has been well received by our customers, and mobile transactions have nearly doubled since its release.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In commercial banking, we continue to streamline our processes, enabling our salesforce to spend more time acquiring new customers and strengthening existing relationships. Volume growth continues to be strong with year-over-year loan and deposit growth of 10% and 9%, respectively. We remain second in Canadian business banking loan market share for small and medium-sized loans.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U.S. P&amp;C (all amounts in US$)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of $140 million and adjusted net income of $151 million both decreased $8 million or 6% from the second quarter a year ago. The benefits from strong commercial loan growth and lower provisions for credit losses were more than offset by the effects of lower net interest margin and reduced gains on sales of newly originated mortgages.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There were year-over-year and quarterly sequential increases in average current loans and acceptances, led by continued strong double-digit growth in the core commercial and industrial (C&amp;I) loan portfolio. The core C&amp;I portfolio increased by $4.2 billion or 19% from a year ago to $26.3 billion.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To demonstrate our commitment to providing financial literacy outreach to the communities in which we serve, we sponsored multiple financial education and homeownership workshops throughout our markets as part of the Federal Reserve Bank's Money Smart Week. In addition, we recently partnered with the Chicago Office of the City Treasurer and the Canadian Foundation for Economic Education to launch Talk With Our Kids About Money Day, which encourages families, students and teachers to have conversations about money and personal finance.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Wealth Management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of $194 million increased $54 million or 38% from a year ago. Adjusted net income of $200 million increased $53 million or 36%. Adjusted net income in traditional wealth was $139 million, up $27 million or 23% resulting from strong growth in client assets. Adjusted net income in insurance was $61 million, up $26 million from a year ago.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Assets under management and administration grew by $91 billion or 17% from a year ago to $612 billion, driven by market appreciation, the stronger U.S. dollar and growth in new client assets.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This past quarter, BMO's wealth businesses received a number of awards from Global Banking and Finance Review, including: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 Harris Private Banking was named Best Private Bank in Canada for the fourth consecutive year; BMO Nesbitt Burns was named Best Full Service Investment Advisory in Canada; and BMO Private Bank Asia was named Best New Private Bank in Hong Kong and Best New Private Bank in Singapore.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On May 7, 2014, we announced that we had completed the acquisition of F&amp;C Asset Management plc (F&amp;C). This acquisition strengthens BMO Global Asset Management's position as a globally significant money manager, enhancing its investment platform capabilities and providing attractive opportunities to service wealth markets in the United Kingdom and the rest of Europe.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 Capital Markets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Net income of $305 million increased $44 million or 17% from a year ago due to good revenue growth across the businesses and a more favourable tax rate. Revenue increased 14% year over year, driven by good performance in both the Investment and Corporate Banking and the Trading Products businesses and continued good contribution from our U.S. segment. Return on equity of 20.8% was strong, up from 18.3% in the prior year.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Our continued focus on understanding and meeting our core clients' needs was rewarded, having been named World's Best Metals and Mining Investment Bank for the fifth consecutive year by Global Finance magazine this quarter. This focus also contributed to our selection as a 2014 Greenwich Share Leader in Canadian Foreign Exchange Market Share.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 Capital Markets participated in 372 new global issues in the quarter, comprised of 172 corporate debt deals, 131 government debt deals and 69 equity transactions, raising $822 billion.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Corporate Services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Corporate Services net loss on a reported and adjusted basis was $58 million for the second quarter of 2014, compared with a net loss of $11 million a year ago. The decline in results was primarily due to lower recoveries on the purchased credit impaired loan portfolio.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Net Income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net income was $1,097 million for the second quarter of 2014, up $113 million or 11% from a year ago. Adjusted earnings per share were $1.63, up 13% from $1.44 a year ago.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Management has designated certain amounts as adjusting items and has adjusted GAAP results so that we can discuss and present financial results without the effects of adjusting items to facilitate understanding of business performance and related trends. The only item excluded from second quarter 2014 results in the determination of adjusted results was the amortization of acquisition-related intangible assets of $28 million ($21 million after tax; $0.03 per share). Amounts excluded from adjusted results in prior years also included credit-related items in respect of the purchased performing loan portfolio, acquisition integration costs, restructuring costs and run-off structured credit activities. Management assesses performance on a GAAP basis and on an adjusted basis and considers both to be useful in the assessment of underlying business performance. Presenting results on both bases provides readers with a better understanding of how management assesses results. Adjusted results and measures are non-GAAP and, together with items excluded in determining adjusted results, are disclosed in more detail in the Non-GAAP Measures section, along with comments on the uses and limitations of such measures. The impact of adjusting items for comparative periods is summarized in the Non-GAAP Measures section.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Caution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foregoing sections contain forward-looking statements. Please see the Caution Regarding Forward-Looking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results in these Total Bank Overview and Operating Segment Overview sections are non-GAAP amounts or non-GAAP measures. Please see the Non-GAAP Measures section.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Management's Discussion and Analysis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Management's Discussion and Analysis (MD&amp;A) commentary is as of May 28, 2014. Unless otherwise indicated, all amounts are in Canadian dollars and have been derived from financial statements prepared in accordance with International Financial Reporting Standards (IFRS). References to GAAP mean IFRS. The MD&amp;A should be read in conjunction with the unaudited interim consolidated financial statements for the period ended April 30, 2014, as well as the audited consolidated financial statements for the year ended October 31, 2013, and the MD&amp;A for fiscal 2013 in BMO's 2013 Annual Report. The material that precedes this section comprises part of this MD&amp;A.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annual MD&amp;A includes a comprehensive discussion of our businesses, strategies and objectives, and can be accessed on our website at </w:t>
      </w:r>
      <w:hyperlink r:id="rId10" w:history="1">
        <w:r w:rsidRPr="001906E8">
          <w:rPr>
            <w:rFonts w:ascii="Times New Roman" w:eastAsia="Times New Roman" w:hAnsi="Times New Roman" w:cs="Times New Roman"/>
            <w:color w:val="0000FF"/>
            <w:sz w:val="14"/>
            <w:u w:val="single"/>
          </w:rPr>
          <w:t>www.bmo.com/investorrelations</w:t>
        </w:r>
      </w:hyperlink>
      <w:r w:rsidRPr="001906E8">
        <w:rPr>
          <w:rFonts w:ascii="Times New Roman" w:eastAsia="Times New Roman" w:hAnsi="Times New Roman" w:cs="Times New Roman"/>
          <w:sz w:val="14"/>
          <w:szCs w:val="14"/>
        </w:rPr>
        <w:t xml:space="preserve">. Readers are also encouraged to visit the site to view other quarterly financial information.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Bank of Montreal's management, under the supervision of the CEO and CFO, has evaluated the effectiveness, as at April 30, 2014, of Bank of Montreal's disclosure controls and procedures (as defined in the rules of the Securities and Exchange Commission and the Canadian Securities Administrators) and has concluded that such disclosure controls and procedures are effective.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There were no changes in our internal control over financial reporting during the quarter ended April 30, 2014, that materially affected, or are reasonably likely to materially affect, our internal control over financial reporting.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Because of inherent limitations, disclosure controls and procedures and internal control over financial reporting can provide only reasonable assurance and may not prevent or detect misstatements.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As in prior quarters, Bank of Montreal's Audit and Conduct Review Committee reviewed this document and Bank of Montreal's Board of Directors approved the document prior to its release.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Regulatory Filings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Our continuous disclosure materials, including our interim filings, annual MD&amp;A and audited consolidated financial statements, Annual Information Form and Notice of Annual Meeting of Shareholders and Proxy Circular are available on our website at </w:t>
      </w:r>
      <w:hyperlink r:id="rId11" w:history="1">
        <w:r w:rsidRPr="001906E8">
          <w:rPr>
            <w:rFonts w:ascii="Times New Roman" w:eastAsia="Times New Roman" w:hAnsi="Times New Roman" w:cs="Times New Roman"/>
            <w:color w:val="0000FF"/>
            <w:sz w:val="14"/>
            <w:u w:val="single"/>
          </w:rPr>
          <w:t>www.bmo.com/investorrelations</w:t>
        </w:r>
      </w:hyperlink>
      <w:r w:rsidRPr="001906E8">
        <w:rPr>
          <w:rFonts w:ascii="Times New Roman" w:eastAsia="Times New Roman" w:hAnsi="Times New Roman" w:cs="Times New Roman"/>
          <w:sz w:val="14"/>
          <w:szCs w:val="14"/>
        </w:rPr>
        <w:t xml:space="preserve">, on the Canadian Securities Administrators' website at </w:t>
      </w:r>
      <w:hyperlink r:id="rId12" w:history="1">
        <w:r w:rsidRPr="001906E8">
          <w:rPr>
            <w:rFonts w:ascii="Times New Roman" w:eastAsia="Times New Roman" w:hAnsi="Times New Roman" w:cs="Times New Roman"/>
            <w:color w:val="0000FF"/>
            <w:sz w:val="14"/>
            <w:u w:val="single"/>
          </w:rPr>
          <w:t>www.sedar.com</w:t>
        </w:r>
      </w:hyperlink>
      <w:r w:rsidRPr="001906E8">
        <w:rPr>
          <w:rFonts w:ascii="Times New Roman" w:eastAsia="Times New Roman" w:hAnsi="Times New Roman" w:cs="Times New Roman"/>
          <w:sz w:val="14"/>
          <w:szCs w:val="14"/>
        </w:rPr>
        <w:t xml:space="preserve"> and on the EDGAR section of the SEC's website at </w:t>
      </w:r>
      <w:hyperlink r:id="rId13" w:history="1">
        <w:r w:rsidRPr="001906E8">
          <w:rPr>
            <w:rFonts w:ascii="Times New Roman" w:eastAsia="Times New Roman" w:hAnsi="Times New Roman" w:cs="Times New Roman"/>
            <w:color w:val="0000FF"/>
            <w:sz w:val="14"/>
            <w:u w:val="single"/>
          </w:rPr>
          <w:t>www.sec.gov</w:t>
        </w:r>
      </w:hyperlink>
      <w:r w:rsidRPr="001906E8">
        <w:rPr>
          <w:rFonts w:ascii="Times New Roman" w:eastAsia="Times New Roman" w:hAnsi="Times New Roman" w:cs="Times New Roman"/>
          <w:sz w:val="14"/>
          <w:szCs w:val="14"/>
        </w:rPr>
        <w:t xml:space="preserv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Bank of Montreal uses a unified branding approach that links all of the organization's member companies. Bank of Montreal, together with its subsidiaries, is known as BMO Financial Group. As such, in this document, the names BMO and BMO Financial Group mean Bank of Montreal, together with its subsidiaries.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Summary Data - Reported                                              Table 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except as noted)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Summary Income Statement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income             2,063    2,113    2,129     4,176     4,377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revenue            1,978    2,009    1,764     3,987     3,548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Revenue                         4,041    4,122    3,893     8,163     7,925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Specific provision for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losses                           162       99      174       261       352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Collective provision for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(recovery of) credit losses        -        -      (30)        -       (30)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provision for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losses                           162       99      144       261       322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2,594    2,684    2,550     5,278     5,120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income taxes        209      278      237       487       485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income                      1,076    1,061      962     2,137     1,998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Attributable to bank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shareholders                 1,062    1,048      944     2,110     1,962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Attributable to non-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controlling interest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subsidiaries                    14       13       18        27        36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income                      1,076    1,061      962     2,137     1,998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Common Share Data ($ except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 noted)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Earnings per share               1.60     1.58     1.40      3.18      2.91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Earnings per share growth (%)    14.3      4.6     (6.7)      9.3      (6.7)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Dividends declared per share     0.76     0.76     0.74      1.52      1.46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Book value per share            45.95    45.60    40.87     45.95     40.87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Closing share price             75.55    68.06    63.19     75.55     63.19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market value of common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shares ($ billions)             48.7     43.9     41.0      48.7      41.0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Dividend yield (%)                4.0      4.5      4.7       4.0       4.6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Financial Measures and Ratios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Return on equity                 14.3     14.2     14.2      14.3      14.6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Net income growth                11.6      2.5     (5.6)      6.9      (5.8)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Revenue growth                    3.7      2.3     (0.4)      3.0      (0.6)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growth       1.8      4.4      3.1       3.1       2.4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Efficiency ratio                 64.2     65.1     65.5      64.7      64.6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Efficiency ratio, excluding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PBCAE (1)                       59.4     59.9     60.2      59.7      60.8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Operating leverage                1.9     (2.1)    (3.5)     (0.1)     (3.0)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margin 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average earning assets          1.59     1.62     1.82      1.61      1.85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Effective tax rate               16.2     20.8     19.8      18.5      19.5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Return on average assets         0.73     0.72     0.70      0.72      0.71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credit losses-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to-average 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(annualized)        0.22     0.14     0.22      0.18      0.25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Value Measures (% except as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annual five-year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total shareholder return        19.4     21.4     10.5      19.4      10.5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annual three-year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total shareholder return        11.8     10.6      4.9      11.8       4.9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Twelve month total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shareholder return              24.8     12.9     13.0      24.8      13.0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economic profit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millions) (2)                    297      289      260       586       574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Balance Sheet (as at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billions, except as noted)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Assets                            582      593      555       582       555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loans and acceptances         295      290      264       295       264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Deposits                          394      398      360       394       360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Common shareholders' equity      29.6     29.4     26.5      29.6      26.5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Cash and securities-to-total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ratio (%)                32.1     32.3     30.3      32.1      30.3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Capital Ratios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Common Equity Tier 1 Capital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Ratio                            9.7      9.3      9.7       9.7       9.7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Tier 1 Capital Ratio             11.1     10.6     11.3      11.1      11.3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Capital Ratio              13.0     12.4     13.7      13.0      13.7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Income by Operating Group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Canadian P&amp;C                    480      484      421       964       868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U.S. P&amp;C                        155      166      151       321       330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Personal and Commercial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Banking                          635      650      572     1,285     1,198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Wealth Management                 194      175      140       369       302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BMO Capital Markets               305      277      261       582       559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Corporate Services, including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Technology and Operations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(T&amp;O)                            (58)     (41)     (11)      (99)      (61)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BMO Financial Group net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income                         1,076    1,061      962     2,137     1,998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This ratio is calculated excluding insurance policyholder benefits,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claims and acquisition expenses (PBCAE).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(2)  Net economic profit is a non-GAAP measure and is discussed in the Non-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Summary Data - Adjusted (1)                                          Table 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except as noted)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Summary Income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Statement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income             2,063    2,113    1,954     4,176     3,990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Non-interest revenue            1,978    2,009    1,754     3,987     3,530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Revenue                         4,041    4,122    3,708     8,163     7,520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credit losses       162       99      109       261       205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2,566    2,653    2,384     5,219     4,828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income taxes        216      287      231       503       474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income                      1,097    1,083      984     2,180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Attributable to bank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shareholders                 1,083    1,070      966     2,153     1,977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Attributable to non-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controlling interest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subsidiaries                    14       13       18        27        36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income                      1,097    1,083      984     2,180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Common Share Data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Earnings per share ($)           1.63     1.61     1.44      3.24      2.94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Earnings per share growth (%)    13.2      7.3      0.7      10.2       3.5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Financial Measures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and Ratios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Return on equity                 14.6     14.5     14.6      14.6      14.7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income growth                11.2      5.4      1.1       8.2       3.9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Revenue growth                    8.9      8.2      0.9       8.5       2.1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growth       7.7      8.5      2.3       8.1       3.1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Efficiency ratio                 63.5     64.3     64.3      63.9      64.2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Efficiency ratio, excluding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PBCAE (2)                       58.8     59.2     58.8      59.0      60.2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Operating leverage                1.2     (0.3)    (1.4)      0.4      (1.0)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margin 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average earning assets          1.59     1.62     1.67      1.61      1.68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Effective tax rate               16.5     20.9     19.0      18.7      19.0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By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Operating Group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Canadian P&amp;C                    482      486      422       968       872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U.S. P&amp;C                        167      178      164       345       356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Personal and Commercial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Banking                          649      664      586     1,313     1,228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Wealth Management                 200      183      147       383       315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BMO Capital Markets               306      277      262       583       560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Corporate Services, including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T&amp;O                              (58)     (41)     (11)      (99)      (90)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BMO Financial Group net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income                         1,097    1,083      984     2,180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The above results and statistics are presented on an adjusted basis.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These are non-GAAP amounts or non-GAAP measures. Please see the Non-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(2)  This ratio is calculated excluding insurance policyholder benefits,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claims and acquisition expenses (PBCAE).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Caution Regarding Forward-Looking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Bank of Montreal's public communications often include written or oral forward-looking statements. Statements of this type are included in this document, and may be included in other filings with Canadian securities regulators or the U.S. Securities and Exchange Commission, or in other communications. All such statements are made pursuant to the "safe harbor" provisions of, and are intended to be forward-looking statements under, the United States Private Securities Litigation Reform Act of 1995 and any applicable Canadian securities legislation. Forward-looking statements may involve, but are not limited to, comments with respect to our objectives and priorities for 2014 and beyond, our strategies or future actions, our targets, expectations for our financial condition or share price, and the results of or outlook for our operations or for the Canadian, U.S. and international economies.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By their nature, forward-looking statements require us to make assumptions and are subject to inherent risks and uncertainties. There is significant risk that predictions, forecasts, conclusions or projections will not prove to be accurate, that our assumptions may not be correct and that actual results may differ materially from such predictions, forecasts, conclusions or projections. We caution readers of this document not to place undue reliance on our forward-looking statements as a number of factors could cause actual future results, conditions, actions or events to differ materially from the targets, expectations, estimates or intentions expressed in the forward-looking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future outcomes that relate to forward-looking statements may be influenced by many factors, including but not limited to: general economic and market conditions in the countries in which we operate; weak, volatile or illiquid capital and/or credit markets; interest rate and currency value fluctuations; changes in monetary, fiscal or economic policy; the degree of competition in the geographic and business areas in which we operate; changes in laws or in supervisory expectations or requirements, including capital, interest rate and liquidity requirements and guidance; judicial or regulatory proceedings; the accuracy and completeness of the information we obtain with respect to our customers and counterparties; our ability to execute our strategic plans and to complete and integrate acquisitions, including obtaining regulatory approvals; critical accounting estimates and the effect of changes to accounting standards, rules and interpretations on these estimates; operational and infrastructure risks; changes to our credit ratings; general political conditions; global capital markets activities; the possible effects on our business of war or terrorist activities; disease or illness that affects local, national or international economies; natural disasters and disruptions to public infrastructure, such as transportation, communications, power or water supply; technological changes; and our ability to anticipate and effectively manage risks associated with all of the foregoing factors.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We caution that the foregoing list is not exhaustive of all possible factors. Other factors could adversely affect our results. For more information, please see the discussion on pages 30 to 31 of BMO's 2013 Annual Report, which outlines in detail certain key factors that may affect Bank of Montreal's future results. When relying on forward-looking statements to make decisions with respect to Bank of Montreal, investors and others should carefully consider these factors, as well as other uncertainties and potential events, and the inherent uncertainty of forward-looking statements. Bank of Montreal does not undertake to update any forward-looking statements, whether written or oral, that may be made from time to time by the organization or on its behalf, except as required by law. The forward-looking information contained in this document is presented for the purpose of assisting our shareholders in understanding our financial position as at and for the periods ended on the dates presented, as well as our strategic priorities and objectives, and may not be appropriate for other purposes.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Assumptions about the level of default and losses on default were material factors we considered when establishing our expectations regarding the future performance of the transactions into which our credit protection vehicle has entered. Among the key assumptions were that the level of default and losses on default will be </w:t>
      </w:r>
      <w:r w:rsidRPr="001906E8">
        <w:rPr>
          <w:rFonts w:ascii="Times New Roman" w:eastAsia="Times New Roman" w:hAnsi="Times New Roman" w:cs="Times New Roman"/>
          <w:sz w:val="14"/>
          <w:szCs w:val="14"/>
        </w:rPr>
        <w:lastRenderedPageBreak/>
        <w:t xml:space="preserve">consistent with historical experience. Material factors that were taken into account when establishing our expectations regarding the future risk of credit losses in our credit protection vehicle and risk of loss to Bank of Montreal included industry diversification in the portfolio, initial credit quality by portfolio, the first-loss protection incorporated into the structure and the hedges into which Bank of Montreal has entered.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Assumptions about the performance of the Canadian and U.S. economies, as well as overall market conditions and their combined effect on our business, are material factors we consider when determining our strategic priorities, objectives and expectations for our business. In determining our expectations for economic growth, both broadly and in the financial services sector, we primarily consider historical economic data provided by the Canadian and U.S. governments and their agencies. See the Economic Review and Outlook section of this interim MD&amp;A.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Economic Review and Outlook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After strengthening moderately in the second half of 2013, the Canadian economy has slowed, largely in response to the inclement weather. However, recent data on manufacturing and exports suggest the economy is benefiting from the weaker Canadian dollar and firmer global demand. The Eurozone economy is growing again, albeit modestly, while China's economic slowdown has stabilized at a still-strong growth rate above 7%. Canadian consumer spending is projected to grow moderately, restrained by elevated household debt, while home sales and construction should continue to slow. Consumer credit and residential mortgage growth will likely moderate further. Business investment is expected to strengthen in response to firmer exports and higher energy prices received by Canadian producers, supporting business loan growth. Economic growth is expected to increase from 2.0% in 2013 to 2.3% in 2014, reducing the unemployment rate to 6.8% by year end. Continued low inflation will likely encourage the Bank of Canada to maintain a steady interest rate policy for a fourth consecutive year. The trade deficit should decline as the Canadian dollar weakens further in response to higher long-term interest rates in the United States than in Canada.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After slowing in response to the severe winter weather, the U.S. economy is returning to the strong growth experienced in the second half of 2013. Improved household finances, replacement demand for motor vehicles and pent-up demand for housing are supporting the economy. At the same time, a smaller federal budget deficit and improved finances at the state and local levels of government imply less restrictive fiscal policies. Diminished political uncertainty will support business investment and the demand for business credit. Residential mortgages and consumer loan growth should improve. Economic growth is projected to increase from 1.9% in 2013 to 2.5% in 2014, reducing the unemployment rate below 6.0% by year end. The Federal Reserve is expected to continue reducing its purchases of fixed-income securities, resulting in moderate upward pressure on long-term interest rates. However, policy rates are not expected to increase until the middle of 2015.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U.S. Midwest region, which includes the six states in BMO's U.S. footprint, grew approximately 1.6% in 2013, held back by fiscal policy consolidation. However, stronger growth of 2.5% is expected in 2014 in response to strengthening exports and increased automotive production.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This Economic Review and Outlook section contains forward-looking statements. Please see the Caution Regarding Forward-Looking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Other Value Measures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BMO's average annual total shareholder returns for the one-year, three-year and five-year periods ending April 30, 2014, were 24.8%, 11.8% and 19.4%, respectively.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Foreign Exchange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The Canadian dollar equivalents of BMO's U.S.-dollar-denominated net income, revenues, expenses, recovery of (provisions for) credit losses and income taxes were increased relative to the first quarter of 2014, the second quarter of 2013 and the prior year to date by the strengthening of the U.S. dollar. The average Canadian/U.S. dollar exchange rate for the quarter, expressed in terms of the Canadian dollar cost of a U.S. dollar, increased by 8% from a year ago and 2% from the first quarter. The average rate for the year to date increased by 8% from a year ago. BMO may execute hedging transactions to mitigate the impact of foreign exchange rate movements on net income. Table 3 indicates the relevant average Canadian/U.S. dollar exchange rates and the impact of changes in the rates.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This Foreign Exchange section contains forward-looking statements. Please see the Caution Regarding Forward Looking Statements.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Effects of Changes in Exchange Rates on BMO's Reported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Adjusted Results                                                    Table 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Q2-2014             YTD-2014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except as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noted)                                 vs Q2-2013 vs Q1-2014   vs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Canadian/U.S. dollar exchange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(average)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Current period                            1.1029     1.1029        1.0913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Prior period                              1.0180     1.0800        1.0064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Effects on reported results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Increased net interest income                   54         15           111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Increased non-interest revenue                  45         12            91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Increased revenues                              99         27           202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Increased expenses                             (75)       (20)         (150)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Increased recovery of (provision for)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credit losses                                  (2)        (1)            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Increased income taxes                          (5)        (1)          (12)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Increased reported net income                   17          5            41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Effects on adjusted results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Increased net interest income                   49         15           100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Increased non-interest revenue                  45         12            91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Increased revenues                              94         27           191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Increased expenses                             (73)       (20)         (146)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Increased recovery of (provision for)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credit losses                                  (1)        (1)            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Increased income taxes                          (4)        (1)          (10)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Increased adjusted net income                   16          5            40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results in this section are non-GAAP amounts or non-GAAP Measures.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lastRenderedPageBreak/>
        <w:t xml:space="preserve">Net Income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2014 vs Q2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was $1,076 million for the second quarter of 2014, up $114 million or 12% from a year ago. EPS was $1.60, up $0.20 or 14% from a year ago.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net income was $1,097 million, up $113 million or 11% from a year ago. Adjusted EPS was $1.63, up $0.19 or 13% from a year ago. Adjusted results and items excluded in determining adjusted results are disclosed in detail in the preceding Adjusted Net Income section and in the Non-GAAP Measures section, together with comments on the uses and limitations of such measures.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On an adjusted basis, net income growth was driven by strong results in Canadian P&amp;C, Wealth Management and BMO Capital Markets. Canadian P&amp;C results reflected strong balance and fee volumes, partially offset by lower net interest margin. Wealth Management posted strong results with adjusted net income up 36% due to higher revenue across all businesses driven by strong growth in client assets, and higher insurance revenue, partially offset by higher revenue-based costs. BMO Capital Markets results were up due to good revenue performance in both the Investment and Corporate Banking and the Trading Products businesses and a more favourable tax rate, partially offset by increased employee-related expenses and support costs. U.S. P&amp;C net income declined on a U.S. dollar basis, due to lower revenue as the benefits from strong commercial loan growth and lower provisions for credit losses were more than offset by the effects of lower net interest margin and reduced gains on sales of newly originated mortgages. Corporate Services adjusted results decreased primarily due to lower recoveries on the purchased credit impaired loan portfolio.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2014 vs Q1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increased $15 million and EPS increased $0.02. Adjusted net income increased $14 million and adjusted EPS increased by $0.02. The impact of the stronger U.S. dollar increased adjusted net income growth by $5 million.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growth in Canadian P&amp;C decreased due to three fewer days in the current quarter, largely offset by lower expenses and lower provisions for credit losses. Net income increased in Wealth Management due to higher revenue, driven by growth in client assets and increased insurance revenue, and lower expenses. BMO Capital Markets results were up as lower revenue was more than offset by lower expenses and a more favourable tax rate. U.S. P&amp;C adjusted net income decreased on a U.S. dollar basis, as the benefits of lower expenses were more than offset by increased provisions for credit losses and fewer days. Corporate Services adjusted results decreased primarily due to lower recoveries on the purchased credit impaired loan portfolio, partly offset by lower expenses.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YTD 2014 vs Q2 YTD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increased $139 million or 7% to $2,137 million. EPS was $3.18, up $0.27 or 9% from a year ago. Adjusted net income was $2,180 million, up $167 million or 8% from a year ago. The impact of the stronger U.S. dollar increased adjusted net income growth by $40 million or 2%. Adjusted EPS was $3.24, up $0.30 or 10% from a year ago. On an adjusted basis, there was strong growth in Wealth Management and Canadian P&amp;C, good growth in BMO Capital Markets and a decline in U.S. P&amp;C. Adjusted net income in Corporate Services was lower relative to the same period a year ago.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results in this Net Income section are non-GAAP amounts or non-GAAP measures. Please see the Non-GAAP Measures section.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Revenue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2014 vs Q2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Total revenue of $4,041 million increased $148 million or 4% from the second quarter last year. Adjusted revenue increased $333 million or 9% to $4,041 million. Excluding the impact of the stronger U.S. dollar, adjusted revenue increased by $239 million or 6%. Canadian P&amp;C had good results due to strong balance and fee volumes, partially offset by the impact of a lower net interest margin. Wealth Management had strong revenue growth, with traditional wealth up 11%. Insurance revenue increased as the prior year was impacted by unfavourable movements in long-term interest rates. BMO Capital Markets also had good revenue performance in both the Investment and Corporate Banking and Trading Products businesses. U.S. P&amp;C revenue decreased on a U.S. dollar basis, as the benefits of strong commercial loan growth were more than offset by lower net interest margin and reduced gains on sales of newly originated mortgages. Adjusted revenue decreased in Corporate Services due to the impact of a higher group teb adjustment and other smaller items, net of credit-related revenue on the purchased performing loan portfolio.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interest income decreased $66 million or 3% from a year ago to $2,063 million. Adjusted net interest income increased $109 million or 5% to $2,063 million, due to volume growth, revenue from the purchased performing loan portfolio and the impact of the stronger U.S. dollar, partially offset by a lower net interest margin. BMO's overall net interest margin decreased on a reported basis by 23 basis points from a year ago to 1.59%. Adjusted net interest margin decreased by 8 basis points to 1.59%. Average earning assets increased $49.5 billion or 10% to $530.6 billion, including a $16.5 billion increase as a result of the stronger U.S. dollar.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Non-interest revenue increased $214 million or 12% from a year ago to $1,978 million. Adjusted non-interest revenue increased $224 million or 13% to $1,978 million, due to increases in all types of non-interest revenue, with the exception of foreign exchange, other than trading, and securities gains.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2014 vs Q1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Reported and adjusted revenue decreased $81 million or 2% from the first quarter. Excluding the impact of the stronger U.S. dollar, adjusted revenue decreased by $108 million or 3% due to fewer days in the quarter. There was lower revenue in Canadian P&amp;C, primarily due to three fewer days. Revenue in Wealth Management increased, with revenue growth in traditional wealth driven by growth in client assets, and higher insurance revenue. Revenue in BMO Capital Markets was lower, reflecting decreases in investment banking fees and securities gains, partly offset by increased equity and foreign exchange trading. U.S. P&amp;C revenue was stable on a U.S. dollar basis, despite the impact of fewer days. Corporate Services adjusted revenue was lower due to a higher group teb offset.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Reported and adjusted net interest income decreased $50 million or 2%, in large part due to three fewer days in the current quarter. BMO's overall net interest margin decreased by 3 basis points from the first quarter. Average earning assets increased $14.6 billion or 3% from the prior quarter, of which $4.4 billion related to the stronger U.S. dollar.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Reported and adjusted non-interest revenue decreased $31 million or 2%, primarily due to lower underwriting and advisory fees, trading revenues and fewer days.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YTD 2014 vs Q2 YTD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Year-to-date revenue increased $238 million or 3% and adjusted revenue increased $643 million or 9%. Excluding the impact of the stronger U.S. dollar, adjusted revenue increased $452 million or 6%.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Net interest income decreased $201 million or 5% year to date. Adjusted net interest income increased $186 million or 5%, mainly due to revenue from the purchased performing loan portfolio and volume growth, offset by lower net interest margin. BMO's overall net interest margin declined by 24 basis points to 1.61%. Adjusted net interest margin declined by 7 basis points to 1.61%. Average earning assets increased by $44.6 billion, of which $16.1 billion was due to the stronger U.S. dollar.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Non-interest revenue increased $439 million or 12% year to date. Adjusted non-interest revenue increased $457 million or 13% with increases in all types of non-interest revenue except underwriting and advisory fees and foreign exchange, other than trading.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interest income and non-interest revenue are detailed in the unaudited interim consolidated financial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results in this Revenue section are non-GAAP amounts or non-GAAP measures. 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Adjusted Net Interest Margin on Average Earning Assets (teb)(i)      Table 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 basis points)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Canadian P&amp;C                    258      261      264       260       267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U.S. P&amp;C                        376      383      410       380       411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Personal and Commercial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Banking                          290      293      303       291       304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Wealth Management                 264      273      283       268       285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BMO Capital Markets                59       48       59        53        58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Corporate Services, including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T&amp;O(ii)                           nm       nm       nm        nm        nm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BMO adjusted net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margin(iii)             159      162      167       161       168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BMO adjusted net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margin (excluding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trading)(iii)                    196      203      203       199       204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BMO reported net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margin                  159      162      182       161       185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BMO reported net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margin (excluding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trading)                         196      203      221       199       225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Canadian Retail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(reported and adjusted)(iv)      257      260      263       258       266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   Net interest margin is disclosed and computed with reference to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average earning assets, rather than total assets. This basis provides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 more relevant measure of margins and changes in margins. Operating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group margins are stated on a taxable equivalent basis (teb) while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total BMO margin is stated on a GAAP basis.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(ii)  Corporate Services adjusted net interest income is negative in all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periods and its variability affects changes in net interest margin.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(iii) These are non-GAAP amounts or non-GAAP measures. Please see the Non-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(iv)  Total Canadian retail margin represents the net interest margin of the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combined Canadian businesses of Canadian P&amp;C and Wealth Management.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nm - not meaningful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Provisions for Credit Losses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2014 vs Q2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total provision for credit losses (PCL) was $162 million, an increase of $18 million from the prior year. Adjusted PCL increased by $53 million from the prior year due to lower recoveries. There was no net change to the collective allowance in the quarter.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Canadian P&amp;C provisions decreased by $20 million to $133 million, due to a decrease in provisions in both the commercial and consumer portfolios. Wealth Management provisions were relatively stable year over year. Recoveries of credit losses in BMO Capital Markets were $2 million lower. U.S. P&amp;C provisions of $50 million decreased by $5 million due to lower provisions in the consumer portfolio, partially offset by higher provisions in the commercial portfolio. Corporate Services adjusted recoveries of $19 million declined by $75 million, primarily due to a $62 million decrease in recoveries on the purchased credit impaired loan portfolio.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2014 vs Q1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reported and adjusted PCL increased by $63 million from the prior quarter. There was no net change to the collective allowance in the quarter.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Canadian P&amp;C provisions decreased by $8 million, as a decrease in the commercial portfolio was partially offset by an increase in the consumer portfolio. Wealth Management provisions increased by $3 million. Recoveries of credit losses in BMO Capital Markets were $3 million higher in the current quarter. U.S. P&amp;C provisions increased by $31 million due to increases in the commercial portfolio from the low levels in the first quarter. Corporate Services adjusted recoveries decreased by $40 million mainly due to a decrease in recoveries on the purchased credit impaired loan portfolio.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results in this Provisions for Credit Losses section are non-GAAP amounts or non-GAAP measures. 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Provision for Credit Losses by Operating Group                       Table 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Canadian P&amp;C                    133      141      153       274       281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U.S. P&amp;C                         50       19       55        69        87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Personal and Commercial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Banking                          183      160      208       343       368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Wealth Management                   2       (1)       1         1         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BMO Capital Markets                (4)      (1)      (6)       (5)      (21)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Corporate Services, including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T&amp;O (1)(2)                       (19)     (59)     (94)      (78)     (145)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provision for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losses                           162       99      109       261       205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Purchased performing loans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(1)                                -        -       65         -       147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Decrease in collective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allowance                          -        -      (30)        -       (30)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credit losses       162       99      144       261       322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Effective Q1-2014, Corporate Services adjusted results include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related items in respect of the purchased performing loan portfolio,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including $21 million specific provisions for credit losses in the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current period ($34 million in Q1-2014).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(2)  Corporate Services results include purchased credit impaired loan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recoveries of $45 million in Q2-2014 ($28 million after tax); $117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in Q1-2014 ($72 million after tax); and $107 million in Q2-2013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($66 million after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This table contains adjusted results and measures, which are Non-GAAP.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Changes to Provision for Credit Losses                               Table 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except as noted)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New specific provisions           348      358      406       706       824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Reversals of previously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established allowances           (47)     (48)     (49)      (95)     (131)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Recoveries of loans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previously written-off          (139)    (211)    (183)     (350)     (341)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Specific provision for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losses                           162       99      174       261       352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Decrease in collective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allowance                          -        -      (30)        -       (30)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credit losses       162       99      144       261       322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PCL as a % of average net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loans and acceptances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(annualized)                    0.22     0.14     0.22      0.18      0.25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Impaired Loans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Total gross impaired loans (GIL) were $2,325 million at the end of the current quarter, down from $2,482 million in the first quarter of 2014 and down from $2,848 million a year ago.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Factors contributing to the change in GIL are outlined in Table 7 below. Loans classified as impaired during the quarter totalled $509 million in the current quarter, down from $642 million in the first quarter of 2014 and $595 million a year ago.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Changes in Gross Impaired Loans (GIL) and Acceptances (1)            Table 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except as noted)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GIL, beginning of period        2,482    2,544    2,912     2,544     2,976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Classified as impaired during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the period                       509      642      595     1,151     1,225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Transferred to not impaired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during the period               (244)    (154)    (196)     (398)     (352)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Net repayments                   (185)    (446)    (232)     (631)     (521)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Amounts written-off              (149)    (203)    (216)     (352)     (451)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Recoveries of 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advances previously written-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off                                -        -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Disposals of loans                (63)      (2)     (56)      (65)      (87)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Foreign exchange and other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movements                        (25)     101       41        76        58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GIL, end of period              2,325    2,482    2,848     2,325     2,848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GIL as a % of gross 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0.79     0.85     1.08      0.79      1.08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GIL excludes purchased credit impaired loans.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For further discussion of risk management practices and key measures, see the Risk Management section.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Non-Interest Expense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Non-interest expense increased $44 million or 2% from the second quarter a year ago to $2,594 million. Adjusted non-interest expense increased $182 million or 8% to $2,566 million, or 5% excluding the impact of the stronger U.S. dollar, primarily due to higher employee-related expenses, including performance-based compensation, and increased technology and support costs related to a changing business and regulatory environment.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Non-interest expense decreased $90 million or 3% relative to the first quarter. Adjusted non-interest expense decreased $87 million or 3%. Excluding the impact of the stronger U.S. dollar, adjusted non-interest expense decreased by $107 million or 4%, primarily due to $66 million of stock-based compensation for employees eligible to retire that is expensed in the first quarter of each year and lower severance costs.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Year-over-year operating leverage on a reported basis was 1.9% and adjusted operating leverage was 1.2%. The adjusted efficiency ratio of 63.5% for the second quarter of 2014 improved by 80 basis points from a year ago and from the prior quarter.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Non-interest expense for the year to date increased $158 million or 3% to $5,278 million. Adjusted non-interest expense increased $391 million or 8% to $5,219 million, or 5% excluding the impact of the stronger U.S. dollar, primarily due to higher employee-related expenses, including performance-based compensation, and increased technology and support costs related to a changing business and regulatory environment.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Non-interest expense is detailed in the unaudited interim consolidated financial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results in this Non-Interest Expense section are non-GAAP amounts or non-GAAP measures. Please see the Non-GAAP Measures section.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Income Taxes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provision for income taxes of $209 million decreased $28 million from the second quarter of 2013 and decreased $69 million from the first quarter of 2014. The effective tax rate for the quarter was 16.2%, compared with 19.8% a year ago and 20.8% in the first quarter of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adjusted provision for income taxes of $216 million decreased $15 million from a year ago and decreased $71 million from the first quarter of 2014. The adjusted effective tax rate was 16.5% in the current quarter, compared with 19.0% a year ago and 20.9% in the first quarter of 2014. The lower adjusted tax rate in the current quarter relative to the second quarter of 2013 was primarily due to higher tax-exempt income. The lower adjusted tax rate in the current quarter relative to the first quarter of 2014 was primarily due to higher tax-exempt income and a lower proportion of income from higher tax-rate jurisdictions.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results in this Income Taxes section are non-GAAP amounts or non-GAAP measures. Please see the Non-GAAP Measures section.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Capital Management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Second Quarter 2014 Regulatory Capital Review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BMO's Common Equity Tier 1 (CET1) Ratio was 9.7% at April 30,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CET1 Ratio increased by approximately 40 basis points from 9.3% at the end of the first quarter due to a net decrease in risk-weighted assets (RWA) and increased retained earnings. The CET1 Ratio decreased by approximately 20 basis points from 9.9% at October 31, 2013, due to higher RWA, partly offset by a benefit from increased retained earnings.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RWA of $235 billion at April 30, 2014, decreased by $5 billion from the first quarter due to reduced market risk exposures and lower credit risk primarily due to improved risk assessments and the impact of a strengthening Canadian dollar during the second quarter, partially offset by updates to calculation methodologies. RWA increased $20 billion from October 31, 2013, primarily due to increased business-driven source currency RWA, newly-implemented Credit Valuation Adjustment (CVA) rules and IFRS accounting standards, and the impact of a strengthening of the U.S. dollar during the first half of the year, partly offset by a decrease in RWA during the second quarter, as noted above.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RWA attributable to the CVA for CET1 during fiscal 2014, and for Tier 1 and Total Capital during the first and second quarters of 2014, was 57% of the fully-implemented charge. This will increase each year until it reaches 100% by 2019.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CET1 capital at April 30, 2014, was $22.7 billion, up $0.4 billion from the first quarter and $1.5 billion from October 31, 2013, mainly due to retained earnings growth and the net impact of foreign exchange movements on U.S.-dollar-denominated investments in foreign operations and related hedges.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bank's Tier 1 and Total Capital Ratios were 11.1% and 13.0%, respectively, at April 30, 2014, compared with 10.6% and 12.4%, respectively, at January 31, 2014, and 11.4% and 13.7%, respectively, at October 31, 2013. These ratios changed from the prior quarter and from October 31, 2013, primarily due to the same factors that caused changes in the CET1 Ratio, described above, and due to the issuance of preferred shares, which was partially offset by preferred share redemptions, as described below.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Office of the Superintendent of Financial Institutions (OSFI) has announced that the Assets-to-Capital Multiple (ACM), based on Total Capital, will be discontinued in 2015 and will be replaced by the Basel III Leverage Ratio. BMO's ACM was 16.8 at April 30, 2014, improved from 17.4 in the first quarter but up from 15.6 at October 31, 2013, primarily due to increases in Total Capital.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BMO's investments in foreign operations are primarily denominated in U.S. dollars. The foreign exchange impact of U.S.-dollar-denominated RWA on Canadian-dollar equivalent RWA, and the impact of U.S.-dollar-denominated capital deductions on our Canadian dollar capital, also may result in variability in the bank's capital ratios. BMO may enter into hedging arrangements to reduce the impact of foreign exchange movements on its capital ratios.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Pages 61 to 65 and pages 92 to 94 of BMO's 2013 Annual Report provide disclosure on Enterprise-Wide Capital Management and Liquidity and Funding Risk, including regulatory requirements impacting capital and liquidity.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Other Capital Developments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On May 7, 2014, we announced that we had completed the acquisition of F&amp;C. The acquisition is expected to reduce BMO's CET1 Ratio by approximately 75 basis points.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During the quarter, we redeemed all of our Non-cumulative Class B Preferred Share Series 18, at a redemption price of $25.00 per share plus declared and unpaid dividends up to but excluding the date fixed for redemption.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On April 16, 2014, we announced our intention to redeem all of our Non-cumulative Class B Preferred Shares Series 21 on May 25, 2014, at a redemption price of $25.00 per share plus declared and unpaid dividends up to but excluding the date fixed for redemption.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On April 23, 2014, we completed our public offering of Non-cumulative 5-Year Rate Reset Class B Preferred Shares Series 27, our inaugural issuance of non-viability contingent capital securities. We issued 20 million shares for aggregate proceeds of $500 million.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During the quarter, 632,999 common shares were issued through the exercise of stock options.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No shares were repurchased during the quarter under the bank's normal course issuer bid. The timing and amount of purchases under the program are subject to management discretion based on factors such as market conditions and capital levels. Capital expectations for banks have been increasing internationally. In the </w:t>
      </w:r>
      <w:r w:rsidRPr="001906E8">
        <w:rPr>
          <w:rFonts w:ascii="Times New Roman" w:eastAsia="Times New Roman" w:hAnsi="Times New Roman" w:cs="Times New Roman"/>
          <w:sz w:val="14"/>
          <w:szCs w:val="14"/>
        </w:rPr>
        <w:lastRenderedPageBreak/>
        <w:t xml:space="preserve">current environment we expect to maintain capital levels above published minimum CET1 regulatory requirements and do not expect to be active under the normal course issuer bid when BMO's CET1 Ratio is below 9.5%. The bank will periodically consult with OSFI before making purchases under the bid.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On May 28, 2014, BMO announced that the Board of Directors had declared a quarterly dividend payable to common shareholders of $0.78 per common share, up $0.02 per share from the preceding quarter and up $0.04 per share from a year ago. The dividend reflects the success of our business strategies.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dividend is payable August 26, 2014, to shareholders of record on August 1, 2014. Common shareholders may elect to have their cash dividends reinvested in common shares of the bank in accordance with the shareholder dividend reinvestment and share purchase plan (the Plan). As previously announced, such additional common shares will be issued from treasury until further notice. Commencing with the common share dividend declared on May 28, 2014, common shares issued under the Plan will, until further notice, have a two percent discount from the average market price (as defined in the Plan).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Qualifying Regulatory Capital and Risk-Weighted Assets               Table 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Q2-2014                  Q1-2014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All-in  Transitional     All-in  Transitional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(1)           (2)        (1)           (2)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Gross Common Equity (3)    29,646        29,646     29,391        29,391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Regulatory adjustments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applied to Common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Equity                    (6,918)       (1,298)    (7,051)       (1,465)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Common Equity Tier 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capital (CET1)              22,728        28,348     22,340        27,926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Additional Tier 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Eligible Capital (4)       3,835         3,835      3,457         3,457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Regulatory adjustments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applied to Tier 1           (413)       (3,203)      (415)       (3,256)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Additional Tier 1 capital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(AT1)                        3,422           632      3,042           201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Tier 1 capital (T1 = CET1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AT1)                      26,150        28,980     25,382        28,127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Tier 2 Eligible Capital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(5)                        4,357         4,357      4,321         4,321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Regulatory adjustments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applied to Tier 2            (50)          (10)       (50)          (12)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Tier 2 capital (T2)           4,307         4,347      4,271         4,309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capital (TC = T1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T2)                         30,457        33,327     29,653        32,436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risk-weighted assets  234,774       240,074    240,076       246,232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Capital Ratios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CET1 Ratio                      9.7          11.8        9.3          11.3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Tier 1 Capital Ratio           11.1          12.1       10.6          11.4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Capital Ratio            13.0          13.9       12.4          13.2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Q4-2013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All-in  Transitional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(1)           (2)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Gross Common Equity (3)    28,144        28,144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Regulatory adjustments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applied to Common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Equity                    (6,917)            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Common Equity Tier 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capital (CET1)              21,227        28,153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Additional Tier 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Eligible Capital (4)       3,781         3,781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Regulatory adjustments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applied to Tier 1           (409)       (3,781)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Additional Tier 1 capital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(AT1)                        3,372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Tier 1 capital (T1 = CET1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AT1)                      24,599        28,153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Tier 2 Eligible Capital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(5)                        4,951         4,951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Regulatory adjustments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applied to Tier 2            (50)          (13)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Tier 2 capital (T2)           4,901         4,938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capital (TC = T1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T2)                         29,500        33,091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risk-weighted assets  215,094       232,501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Capital Ratios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CET1 Ratio                      9.9          12.1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Tier 1 Capital Ratio           11.4          12.1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Capital Ratio            13.7          14.2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(1)  "All-in" regulatory capital assumes that all Basel III regulatory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adjustments are applied effective January 1, 2013, and that the capital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value of instruments which no longer qualify as regulatory capital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under Basel III rules will be phased out at a rate of 10% per year from</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January 1, 2013, and continuing to January 1, 2022.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(2)  Transitional regulatory capital assumes that all Basel III regulatory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capital adjustments are phased in from January 1, 2014, to January 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2018, and that the capital value of instruments that no longer qualify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 regulatory capital under Basel III rules will be phased out at a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rate of 10% per year from January 1, 2013, and continuing to January 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2022.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(3)  Gross Common Equity includes issued qualifying common shares, retained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earnings, accumulated other comprehensive income and eligible common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share capital issued by subsidiaries.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(4)  Additional Tier 1 Eligible Capital includes directly and indirectly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issued qualifying Additional Tier 1 instruments and directly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indirectly issued capital instruments, to the extent eligible, which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are subject to phase-out under Basel III.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(5)  Tier 2 Eligible Capital includes directly and indirectly issued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qualifying Tier 2 instruments and directly and indirectly issued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capital instruments, to the extent eligible, that are subject to phase-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out under Basel III.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Outstanding Shares and Securities Convertible into Common Shares     Table 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Number of shares</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or dollar amount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As at May 21, 2014                                             (in millions)</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Common shares                                                            645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Class B Preferred Shares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Series 13                                                       $      350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Series 14                                                       $      250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Series 15                                                       $      250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Series 16                                                       $      157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Series 17                                                       $      143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Series 21 (1)                                                   $      275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Series 23                                                       $      400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Series 25                                                       $      290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Series 27 (2)                                                   $      500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Stock options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vested                                                                 8.0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non-vested                                                             6.8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The Series 21 Preferred Shares were redeemed on May 25,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(2)  The Series 27 Preferred Shares were issued on April 23, 2014 and are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classified as liabilities on our Consolidated Balance Sheet.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Details on share capital are outlined in Note 20 to the audited consolidated</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financial statements on page 163 of BMO's 2013 Annual Report.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lastRenderedPageBreak/>
        <w:t xml:space="preserve">Caution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foregoing Capital Management sections contain forward-looking statements. Please see the Caution Regarding Forward-Looking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Eligible Dividends Designation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For the purposes of the Income Tax Act (Canada) and any similar provincial and territorial legislation, BMO designates all dividends paid or deemed to be paid on both its common and preferred shares as "eligible dividends", unless indicated otherwise.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Review of Operating Groups' Performance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How BMO Reports Operating Group Results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following sections review the financial results of each of our operating segments and operating groups for the second quarter of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Periodically, certain business lines and units within the business lines are transferred between client and corporate support groups to more closely align BMO's organizational structure with its strategic priorities. In addition, revenue and expense allocations are updated to more accurately align with current experience. Results for prior periods are restated to conform to the current presentation.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Corporate Services results reflect certain items in respect of the purchased loan portfolio, including the recognition of a portion of the credit mark that is reflected in net interest income over the term of the purchased loans and provisions and recoveries of credit losses on the purchased portfolio. Amounts excluded from adjusted results in prior years included credit-related items in respect of the purchased performing loan portfolio, acquisition integration costs, restructuring costs and run-off structured credit activities.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Effective November 1, 2013, we adopted several new and amended accounting pronouncements issued by the International Accounting Standards Board (IASB), which are outlined in Note 1 to the unaudited interim consolidated financial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 analyzes revenue at the consolidated level based on GAAP revenue reflected in the consolidated financial statements rather than on a taxable equivalent basis (teb). Like many banks, we analyze revenue on a teb basis at the operating group level. This basis includes an adjustment that increases GAAP revenue and the GAAP provision for income taxes by an amount that would raise revenue on certain tax-exempt items to a level equivalent to amounts that would incur tax at the statutory rate. The offset to the group teb adjustments is reflected in Corporate Services revenue and income tax provisions. The teb adjustments for the second quarter of 2014 totalled $138 million, up from $85 million in the first quarter of 2014 and $71 million in the second quarter of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Personal and Commercial Banking (P&amp;C)                               Table 10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except as noted)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Net interest income (teb)       1,764    1,800    1,668     3,564     3,378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revenue              559      550      529     1,109     1,065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revenue (teb)             2,323    2,350    2,197     4,673     4,443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credit losses       183      160      208       343       368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1,282    1,314    1,225     2,596     2,462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Income before income taxes        858      876      764     1,734     1,613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Income taxes (teb)                223      226      192       449       415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Reported net income               635      650      572     1,285     1,198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649      664      586     1,313     1,228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income growth (%)            11.2      3.8      0.7       7.3       3.2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Revenue growth (%)                5.8      4.6     (0.4)      5.2      (1.1)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growth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4.7      6.3      1.0       5.5      (0.8)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Return on equity (%)             16.2     16.4     16.7      16.3      17.5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return on equity (%)    16.5     16.8     17.1      16.7      17.9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Operating leverage (%)            1.1     (1.7)    (1.4)     (0.3)     (0.3)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operating leverage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0.9     (2.0)    (1.9)     (0.5)     (0.7)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Efficiency ratio (%) (teb)       55.2     55.9     55.8      55.6      55.4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efficiency ratio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54.4     55.1     54.8      54.7      54.5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margin 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2.90     2.93     3.03      2.91      3.04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billions)                      249.8    244.0    225.9     246.8     223.8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current 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 billions)       247.4    242.1    223.7     244.7     221.5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deposits ($ billions)   187.8    186.0    172.8     186.9     171.2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results in this table are non-GAAP amounts or non-GAAP measures.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The Personal and Commercial Banking (P&amp;C) operating group represents the sum of our two retail and business banking operating segments, Canadian Personal and Commercial Banking (Canadian P&amp;C) and U.S. Personal and Commercial Banking (U.S. P&amp;C). These operating segments are reviewed separately in the sections that follow.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Canadian Personal and Commercial Banking (Canadian P&amp;C)             Table 11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except as noted)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income (teb)       1,150    1,194    1,085     2,344     2,208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revenue              410      408      388       818       768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revenue (teb)             1,560    1,602    1,473     3,162     2,976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credit losses       133      141      153       274       281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784      813      764     1,597     1,544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Income before income taxes        643      648      556     1,291     1,151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income taxes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163      164      135       327       283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Reported net income               480      484      421       964       868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482      486      422       968       872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Personal revenue                1,029    1,057      977     2,086     1,972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Commercial revenue                531      545      496     1,076     1,004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income growth (%)            14.3      8.2     (1.6)     11.1       0.7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Revenue growth (%)                6.0      6.5     (0.1)      6.2      (0.1)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growth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2.7      4.2      3.2       3.5       2.1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Operating leverage (%)            3.3      2.3     (3.3)      2.7      (2.2)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Efficiency ratio (%) (teb)       50.2     50.8     51.8      50.5      51.9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margin 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2.58     2.61     2.64      2.60      2.67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billions)                      182.9    181.2    168.2     182.0     166.7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current 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 billions)       187.2    185.6    171.8     186.3     170.2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deposits ($ billions)   123.0    122.5    112.2     122.7     111.2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results in this table are non-GAAP amounts or non-GAAP measures.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Q2 2014 vs Q2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Canadian P&amp;C net income of $480 million increased $59 million or 14% from a year ago. Revenue increased $87 million or 6% from the prior year due to strong balance and fee volumes, partially offset by the impact of lower net interest margin. Net interest margin decreased 6 basis points to 2.58% as a result of changes in mix. Operating leverage at 3.3% was very strong, and was above 2% for the third consecutive quarter.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 the personal banking segment, revenue increased $52 million year over year due to the impact of higher balance and fee volumes, partially offset by lower net interest margin. Total personal lending balances (excluding retail cards) increased 9% year over year. Personal deposit balances increased 10% mainly due to increased term deposits.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 the commercial banking segment, revenue increased $35 million due to the effects of higher balance and fee volumes, partially offset by the impact of lower net interest margin. Commercial loan balances (excluding corporate cards) increased 10% year over year, while commercial deposit balances grew 9%.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Provisions for credit losses fell $20 million or 13% due to a decrease in provisions in both the commercial and consumer portfolios. Non-interest expense increased $20 million or 3% due to continued investment in the business.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Average current loans and acceptances increased $15.4 billion or 9% from a year ago, and deposits increased $10.8 billion or 10%.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2014 vs Q1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decreased by $4 million from last quarter due to three fewer days in the quarter, largely offset by lower expenses and lower provisions for credit losses. Revenue decreased $42 million or 3% primarily due to fewer days. Net interest margin decreased 3 basis points as a result of changes in mix, including loans growing faster than deposits.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Personal revenue decreased $28 million and commercial revenue decreased $14 million, mainly due to three fewer days in the quarter.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Provisions for credit losses decreased $8 million, as a decrease in the commercial portfolio was partially offset by an increase in the consumer portfolio. Non-interest expense decreased $29 million or 4% mainly due to lower employee-related costs, including fewer days and the cost of stock-based compensation for employees that are eligible to retire that is expensed in the first quarter of each year.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Average current loans and acceptances increased $1.6 billion or 1% from the previous quarter, while deposits were $0.5 billion higher.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YTD 2014 vs Q2 YTD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increased $96 million or 11% year to date. Revenue increased $186 million or 6% due to higher balance and fee volumes, partially offset by the impact of lower net interest margin. Operating leverage was strong at 2.7%.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Provisions for credit losses decreased $7 million as lower consumer provisions were partially offset by higher provisions in the commercial portfolio. Non-interest expense increased $53 million or 3% due to continued investment in the business.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Average current loans and acceptances increased $16.2 billion or 10%, while deposits increased $11.5 billion or 10%. The rates of year-to-date loan and deposit growth were both higher than last year's levels.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U.S. Personal and Commercial Banking (U.S. P&amp;C)                     Table 12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(US$ in millions, except as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noted)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income (teb)         557      561      573     1,118     1,162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revenue              134      132      138       266       295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revenue (teb)               691      693      711     1,384     1,457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Provision for credit losses        45       18       53        63        86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451      464      453       915       912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Income before income taxes        195      211      205       406       459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income taxes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55       58       57       113       131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Reported net income               140      153      148       293       328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151      164      159       315       353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income growth (%)            (5.5)   (14.8)     5.1     (10.6)      9.8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growth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(5.9)   (15.0)     2.2     (10.8)      6.8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Revenue growth (%)               (2.6)    (7.2)    (3.7)     (5.0)     (3.6)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growth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(0.4)     1.1     (4.8)      0.4      (5.7)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non-interest expense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growth (%)                       0.3      2.0     (4.0)      1.1      (5.0)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Operating leverage (%)           (2.2)    (8.3)     1.1      (5.4)      2.1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operating leverage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(2.9)    (9.2)     0.3      (6.1)      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Efficiency ratio (%) (teb)       65.3     67.0     63.8      66.1      62.6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efficiency ratio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63.1     64.6     61.3      63.8      60.0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margin 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3.76     3.83     4.10      3.80      4.11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billions)                       60.7     58.1     56.7      59.4      56.7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current 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 billions)        54.6     52.4     51.0      53.5      51.0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deposits ($ billions)    58.8     58.9     59.5      58.8      59.6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equivalent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millions, except as noted)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income (teb)         614      606      583     1,220     1,170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revenue              149      142      141       291       297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revenue (teb)               763      748      724     1,511     1,467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credit losses        50       19       55        69        87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498      501      461       999       918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Income before income taxes        215      228      208       443       462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income taxes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60       62       57       122       132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Reported net Income               155      166      151       321       330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167      178      164       345       356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billions)                       66.9     62.8     57.7      64.8      57.1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current 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 billions)        60.2     56.6     51.9      58.4      51.3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Average deposits ($ billions)    64.9     63.6     60.6      64.2      60.0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results in this table are non-GAAP amounts or non-GAAP measures.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Q2 2014 vs Q2 2013 (in US$)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of $140 million and adjusted net income of $151 million decreased $8 million or 6% from the second quarter a year ago.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Revenue of $691 million decreased $20 million or 3% from the prior year as the benefits from strong commercial loan growth were more than offset by lower net interest margin and reduced gains on sales of newly originated mortgages. Net interest margin decreased by 34 basis points to 3.76% primarily driven by a decline in loan spreads due to competitive pricing, changes in mix including loans growing faster than deposits, and lower deposit spreads in a low-rate environment.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Provisions for credit losses were $45 million, down $8 million due to lower provisions in the consumer portfolio, partially offset by higher provisions in the commercial portfolio. Non-interest expense of $451 million and adjusted non-interest expense of $436 million were essentially unchanged.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Average current loans and acceptances increased $3.6 billion or 7% year over year to $54.6 billion. There was continued strong double-digit growth in the core commercial and industrial loan portfolio, increasing $4.2 billion from a year ago to $26.3 billion. In addition, there was year-over-year growth in our indirect auto and commercial real estate portfolios. As expected, there were decreases in certain loan portfolios, including our mortgage loan portfolio, due to the effects of our continued practice of selling most mortgage originations. Average deposits of $58.8 billion decreased $0.7 billion year over year, due to growth in our commercial business and personal chequing balances being more than offset by a planned reduction in higher-cost time deposit balances, in addition to a transfer of certain customer balances to Wealth Management at the beginning of the current year.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2014 vs Q1 2014 (in US$)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and adjusted net income decreased $13 million or 8% from the prior quarter as the benefits of lower expenses were more than offset by increased provisions for credit losses and fewer days.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Revenue was stable, despite the impact of fewer days, due to strong commercial loan growth, net of lower mortgage-related non-interest revenue. Strong commercial loan growth in the quarter was the primary driver of the 7 basis point decline in net interest margin. Loan and deposit spreads remain stable.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Provisions for credit losses increased by $27 million, due to increases in the commercial portfolio from the low levels in the first quarter. Non-interest expense decreased $13 million or 3%. Adjusted non-interest expense decreased $12 million or 2% mainly due to the cost of stock-based compensation for employees that are eligible to retire that is expensed in the first quarter of each year, and other declines reflecting a continued focus on productivity, net of costs associated with regulatory change.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Average current loans and acceptances increased by $2.2 billion or 4% from the prior quarter, our sixth consecutive quarter of positive growth. Average deposits remain relatively unchanged, as growth in chequing balances was offset by planned declines in higher-cost time deposit balances.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Q2 YTD 2014 vs Q2 YTD 2013 (in US$)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of $293 million decreased $35 million or 11%. Adjusted net income of $315 million decreased $38 million or 11% primarily due to lower revenue.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Revenue decreased $73 million or 5% to $1,384 million. The benefits of strong growth in commercial loans were more than offset by the effect of lower net interest margin and reduced gains on sales of newly originated mortgages. Net interest margin decreased by 31 basis points to 3.80%, primarily driven by a decline in loan spreads due to a competitive pricing, changes in mix including loans growing faster than deposits, and lower deposit spreads in a low-rate environment.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Provisions for credit losses of $63 million decreased $23 million year over year. Non-interest expense of $915 million increased $3 million. Adjusted non-interest expense of $884 million increased $10 million or 1%. We continue to focus on productivity while making selective investments in the business and responding to regulatory change.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Average current loans and acceptances of $53.5 billion increased $2.5 billion or 5% from the prior year, while deposits of $58.8 billion decreased $0.8 billion.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results in the foregoing U.S. P&amp;C sections are non-GAAP amounts or non-GAAP measures. 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Wealth Management                                                   Table 13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except as noted)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income (teb)         135      140      133       275       269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revenue              743      727      630     1,470     1,272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revenue (teb)               878      867      763     1,745     1,541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(recovery of)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credit losses                      2       (1)       1         1         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630      644      587     1,274     1,158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Income before income taxes        246      224      175       470       380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income taxes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52       49       35       101        78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Reported net income               194      175      140       369       302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200      183      147       383       315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income growth (%)            38.4      7.7     (5.2)     21.9      19.3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growth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36.1      8.3     (3.9)     21.2      19.5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Revenue growth (%)               15.0     11.4      2.7      13.2       7.1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growth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                              7.2     12.9      6.2      10.0       4.4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non-interest expense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growth (%)                       7.4     12.7      6.0      10.0       4.1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Return on equity (%)             23.8     20.8     19.7      22.3      21.4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return on equity (%)    24.6     21.7     20.7      23.1      22.3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Operating leverage (%)            7.8     (1.5)    (3.5)      3.2       2.7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operating leverage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7.6     (1.3)    (3.3)      3.2       3.0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Efficiency ratio (%) (teb)       71.7     74.3     77.0      73.0      75.1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efficiency ratio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70.7     73.1     75.8      71.9      74.0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margin 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2.64     2.73     2.83      2.68      2.85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billions)                       20.9     20.4     19.4      20.7      19.1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current 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 billions)        12.8     12.6     11.8      12.7      11.6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deposits ($ billions)    24.8     25.2     23.3      25.0      22.5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U.S. Select Financial Data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(US$ in millions, except as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revenue (teb)               176      178      176       354       349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148      157      147       305       292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Reported net income                19       17       20        36        38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24       22       26        46        49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billions)                        3.0      2.9      2.6       3.0       2.6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current 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 billions)         2.6      2.5      2.5       2.6       2.5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deposits ($ billions)     5.7      5.9      5.1       5.8       5.0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results in this table are non-GAAP amounts or non-GAAP measures.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Q2 2014 vs Q2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Wealth Management produced strong results for the quarter. Net income of $194 million increased $54 million or 38% from a year ago. Adjusted net income of $200 million increased $53 million or 36%. Adjusted net income in traditional wealth was $139 million, up $27 million or 23% from strong growth in client assets. Adjusted net income in insurance was $61 million, up $26 million from a year ago, as the prior year was impacted by unfavourable movements in long-term interest rates. The underlying insurance businesses continued to perform well.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Revenue was $878 million, up $115 million or 15% from a year ago. Revenue in traditional wealth was $776 million, up $76 million or 11% due to higher revenue across all businesses driven by strong growth in client assets. Insurance revenue was $102 million, up $39 million or 63% due to the factors mentioned above. The stronger U.S. dollar increased revenue by $15 million or 2%.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Non-interest expense was $630 million, up $43 million or 7% from a year ago. Adjusted non-interest expense was $621 million, up $42 million or 7% primarily due to higher revenue-based costs. The stronger U.S. dollar increased adjusted expense by $12 million or 2%.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Assets under management and administration grew by $91 billion or 17% from a year ago to $612 billion, driven by market appreciation, the stronger U.S. dollar and growth in new client assets.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2014 vs Q1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was up $19 million or 11% and adjusted net income was up $17 million or 10% from the first quarter. Adjusted net income in traditional wealth was up $16 million or 14%. Adjusted net income in insurance was up $1 million or 2%.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Revenue increased $11 million or 1%. Revenue in traditional wealth increased $8 million or 1%, despite three fewer days in the current quarter, driven by growth in client assets. Insurance revenue increased $3 million or 2%.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Non-interest expense decreased $14 million or 2%. Adjusted non-interest expense decreased $13 million or 2%, as the prior quarter included the impact of stock-based compensation for employees that are eligible to retire, partially offset by higher revenue-based costs in the current quarter.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Assets under management and administration grew by $15 billion or 2% primarily due to market appreciation and growth in new client assets.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YTD 2014 vs Q2 YTD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was $369 million, up $67 million or 22% from a year ago. Adjusted net income was $383 million, up $68 million or 21%. Adjusted net income in traditional wealth was $262 million, up $46 million or 20%. Adjusted net income in insurance was $121 million, up $22 million or 23% from a year ago as the prior year was impacted by unfavourable movements in long-term interest rates. There was continued growth in both the creditor and life insurance underlying businesses.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Revenue was $1,745 million, up $204 million or 13% from a year ago. Revenue in traditional wealth was $1,544 million, up $166 million or 12% due to higher revenue across all businesses driven by strong growth in client assets and increased transaction volumes. Insurance revenue was $201 million, up $38 million or 23% due to the factors mentioned above. The stronger U.S. dollar increased revenue by $30 million or 2%.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Non-interest expense was $1,274 million, an increase of $116 million or 10%. Adjusted non-interest expense was $1,255 million, an increase of $114 million or 10% due to higher revenue-based costs and higher support costs. The stronger U.S. dollar increased adjusted expenses by $25 million or 2%.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results in this Wealth Management section are non-GAAP amounts or non-GAAP measures. 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BMO Capital Markets                                                 Table 14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except as noted)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income (teb)         328      261      289       589       578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revenue              625      713      551     1,338     1,157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revenue (teb)               953      974      840     1,927     1,735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Recovery of credit losses          (4)      (1)      (6)       (5)      (21)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581      609      511     1,190     1,035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Income before income taxes        376      366      335       742       721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income taxes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71       89       74       160       162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Reported net income               305      277      261       582       559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306      277      262       583       560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Trading Products revenue          599      590      544     1,189     1,080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Investment and Corporate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Banking revenue                  354      384      296       738       655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income growth (%)            17.0     (7.2)    17.0       4.1      27.7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Revenue growth (%)               13.6      8.8      7.0      11.1      11.7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growth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13.6     16.3      7.4      14.9       7.0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Return on equity (%)             20.8     18.8     18.3      19.8      19.4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Operating leverage (%)              -     (7.5)    (0.4)     (3.8)      4.7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Efficiency ratio (%) (teb)       61.0     62.5     61.0      61.8      59.7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margin 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0.59     0.48     0.59      0.53      0.58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billions)                      227.2    217.0    202.2     222.0     201.6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assets ($ billions)     265.2    255.2    251.0     260.1     252.0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current 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 billions)        30.4     27.9     25.5      29.1      24.7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deposits ($ billions)   137.6    130.9    123.3     134.2     120.7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U.S. Select Financial Data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(US$ in millions, except as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revenue (teb)               295      348      262       643       549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224      229      206       453       415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Reported net income                63       88       47       151       131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earning assets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billions)                       82.5     75.6     81.4      79.0      77.6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assets ($ billions)      92.5     86.3     99.3      89.3      96.7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current 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 billions)         9.6      9.0      9.3       9.3       9.0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deposits ($ billions)    60.8     55.4     65.0      58.0      62.6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results in this table are non-GAAP amounts or non-GAAP measures.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Q2 2014 vs Q2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of $305 million increased $44 million or 17% from a year ago, supported by good revenue growth across the businesses and a more favourable tax rate. Return on equity of 20.8% was strong, up from 18.3% in the prior year.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Revenue increased $113 million or 14% year over year. Investment and Corporate Banking revenue increased, driven by higher securities gains, loan growth in corporate banking and debt and equity underwriting fees. In Trading Products, revenues increased from equity and foreign exchange trading, which benefited from increased client volumes and good market conditions. This more than offset lower client activity levels and a softer market environment in interest rate trading. The stronger U.S. dollar increased revenue by $25 million or 3% relative to the same period a year ago.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Recoveries of credit losses were lower by $2 million compared to the prior year. Non-interest expense increased $70 million or 14% due to higher employee-related expenses and increased support costs, driven by a changing business and regulatory environment. The stronger U.S. dollar increased expense by $19 million or 4% relative to the same period a year ago.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2014 vs Q1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increased $28 million or 10% from the previous quarter as lower revenue was more than offset by lower expenses and a more favourable tax rate. Revenue decreased $21 million or 2% as Investment and Corporate Banking revenue declined due to lower investment banking fees, as well as lower securities gains. Revenue in Trading Products increased from equity and foreign exchange trading, which benefited from increased client volumes and good market conditions. This was partially offset by lower client activity levels and a softer market environment in interest rate trading.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Recoveries of credit losses were higher by $3 million compared to the prior quarter. Non-interest expense decreased $28 million or 5% from the previous quarter, driven by lower employee-related expenses, including severance and stock-based compensation for employees that are eligible to retire that is expensed in the first quarter of each year.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YTD Q2 2014 vs YTD Q2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income of $582 million increased $23 million or 4% from the prior year. Revenue increased $192 million or 11% due to good revenue performance across the businesses, and in particular from our U.S. segment. Investment and Corporate Banking businesses performed well, driven by higher securities gains in both corporate banking and merchant banking activities, higher equity and debt underwriting fees and stronger lending revenues. Trading Products businesses earned higher trading revenues, driven by higher equity and foreign exchange trading, as well as increased securities commissions and fees. The stronger U.S. dollar increased revenue by $55 million or 3% relative to the same period a year ago.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Recoveries of credit losses were lower by $16 million due to a combination of lower recoveries and new provisions. Non-interest expense increased $155 million or 15% due to higher employee-related expenses, including severance, and increased support costs, both driven by a changing business and regulatory environment. The stronger U.S. dollar increased expenses by $38 million or 4% relative to the same period a year ago.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Corporate Services, Including Technology and Operations             Table 15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except as noted)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income before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group teb offset                 (26)      (3)     110       (29)      287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Group teb offset                 (138)     (85)     (71)     (223)     (135)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income (teb)        (164)     (88)      39      (252)      152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revenue               51       19       54        70        54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revenue (teb)              (113)     (69)      93      (182)      206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Recovery of credit losses         (19)     (59)     (59)      (78)      (28)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101      117      227       218       465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Loss before income taxes         (195)    (127)     (75)     (322)     (231)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Recovery of income taxes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(137)     (86)     (64)     (223)     (170)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Reported net loss                 (58)     (41)     (11)      (99)      (61)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Results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interest income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before group teb offset          (26)      (3)     (65)      (29)     (100)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Group teb offset                 (138)     (85)     (71)     (223)     (135)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interest income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(teb)                           (164)     (88)    (136)     (252)     (235)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non-interest revenue      51       19       44        70        36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Adjusted total revenue (teb)     (113)     (69)     (92)     (182)     (199)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recovery of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losses                           (19)     (59)     (94)      (78)     (145)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non-interest expense     101      117       92       218       235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Adjusted net loss                 (58)     (41)     (11)      (99)      (90)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Corporate Services Recovery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of Credit Losses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Impaired real estate loans         (3)      14        2        11        (3)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Interest on impaired loans          8       10       11        18        24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Purchased credit impaired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loans                            (45)    (117)    (107)     (162)     (166)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Purchased performing loans         21       34        -        55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Recovery of credit losses,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adjusted basis                   (19)     (59)     (94)      (78)     (145)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Collective provision                -        -      (30)        -       (30)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Purchased performing loans          -        -       65         -       147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Recovery of credit losses,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reported basis                   (19)     (59)     (59)      (78)      (28)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loans and acceptances     487      563    1,068       525     1,129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Period-end 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399      559      995       399       995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U.S. Select Financial Data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(US$ in millions)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revenue (teb)               (18)     (23)      77       (41)      203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Recovery of credit losses         (23)     (48)     (79)      (71)      (55)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Non-interest expense               49       13       89        62       228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(recovery of)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income taxes (teb)               (25)      (5)      34       (30)        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Reported net income (loss)        (19)      17       33        (2)       26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Adjusted total revenue (teb)      (18)     (23)     (96)      (41)     (182)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recovery of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losses                           (18)     (57)     (93)      (75)     (148)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non-interest expense      49       13       30        62        77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Adjusted net income (loss)        (22)      22      (29)        -       (61)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results in this table are non-GAAP amounts or non-GAAP measures.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Corporate Services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Corporate Services consists of Corporate Units and Technology and Operations (T&amp;O). Corporate Units provide enterprise-wide expertise and governance support in a variety of areas, including strategic planning, risk management, finance, legal and compliance, marketing, communications and human resources. T&amp;O manages, maintains and provides governance over information technology, operations services, real estate and sourcing for BMO Financial Group.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costs of Corporate Units and T&amp;O services are largely transferred to the three client operating groups (P&amp;C, Wealth Management and BMO Capital Markets), and only relatively minor amounts are retained in Corporate Services results. As such, Corporate Services adjusted operating results largely reflect the impact of certain asset-liability management activities, the elimination of taxable equivalent adjustments, the results from certain impaired real estate secured assets and purchased loan accounting impacts. Corporate Services reported results in 2013 and prior reflect a number of items and activities that are excluded from BMO's adjusted results to help assess BMO's performance. These adjusting items are not reflective of core operating results. They are itemized in the Non-GAAP Measures section.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Financial Performance Review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2014 vs Q2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Corporate Services reported and adjusted net loss for the second quarter of 2014 was $58 million, compared with a reported and adjusted net loss of $11 million a year ago. The decline was primarily due to lower recoveries on the purchased credit impaired loan portfolio.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Q2 2014 vs Q1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Reported and adjusted net loss for the second quarter of 2014 was $58 million, compared with a reported and adjusted net loss of $41 million in the first quarter of 2014. The decline was primarily due to lower recoveries on the purchased credit impaired loan portfolio, partly offset by lower expenses.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YTD Q2 2014 vs YTD Q2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Corporate Services reported and adjusted net loss for the year to date was $99 million, compared with a reported net loss of $61 million and an adjusted net loss of $90 million a year ago. Adjusted results were lower due to a lower net recovery of credit losses, mainly due to specific provisions in respect of the purchased performing loan portfolio, partly offset by better revenues and lower expenses.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results in the foregoing Corporate Services section are non-GAAP amounts or non-GAAP measures. Please see the Non-GAAP Measures section.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Non-GAAP Measures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Results and measures in this MD&amp;A are presented on a GAAP basis. They are also presented on an adjusted basis that excludes the impact of certain items as set out in Table 16 below. Management assesses performance on a reported basis and on an adjusted basis and considers both to be useful in assessing underlying ongoing business performance. Presenting results on both bases provides readers with a better understanding of how management assesses results. It also permits readers to assess the impact of certain specified items on results for the periods presented and to better assess results excluding those items if they consider the items to not be reflective of ongoing results. As such, the presentation may facilitate readers' analysis of trends, as well as comparisons with our competitors. Adjusted results and measures are non-GAAP and as such do not have standardized meaning under GAAP. They are unlikely to be comparable to similar measures presented by other companies and should not be viewed in isolation from or as a substitute for GAAP results.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Net economic profit represents net income available to common shareholders, before deduction for the after-tax impact of the amortization of acquisition-related intangible assets, less a charge for capital, and is considered a reasonable measure of added economic value.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Non-GAAP Measures                                                   Table 16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millions,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except as noted)             Q2-2014  Q1-2014  Q2-2013  YTD-2014  YTD-2013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Reported Results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Revenue                         4,041    4,122    3,893     8,163     7,925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Provision for credit losses      (162)     (99)    (144)     (261)     (322)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Non-interest expense           (2,594)  (2,684)  (2,550)   (5,278)   (5,120)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Income before income taxes      1,285    1,339    1,199     2,624     2,483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Provision for income taxes       (209)    (278)    (237)     (487)     (485)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Income                      1,076    1,061      962     2,137     1,998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EPS ($)                          1.60     1.58     1.40      3.18      2.91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Adjusting Items (Pre-tax) (1)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Credit-related items on the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purchased performing loan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portfolio (see below (i))          -        -      119         -       247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Acquisition integration costs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(2)                                -        -      (50)        -      (142)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Amortization of acquisition-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related intangible 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(3)                              (28)     (31)     (31)      (59)      (62)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Decrease (increase) in the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collective allowance for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credit losses                      -        -       22         -        22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Run-off structured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activities (4)                     -        -        6         -        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Restructuring costs (5)             -        -      (82)        -       (82)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Adjusting items included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reported pre-tax income          (28)     (31)     (16)      (59)       (4)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Adjusting Items (After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Credit-related items on the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purchased performing loan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portfolio (see below (i))          -        -       73         -       152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Acquisition integration costs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(2)                                -        -      (31)        -       (88)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Amortization of acquisition-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related intangible 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(3)                              (21)     (22)     (22)      (43)      (44)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Decrease (increase) in the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collective allowance for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credit losses                      -        -       11         -        11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Run-off structured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activities (4)                     -        -        6         -        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Restructuring costs (5)             -        -      (59)        -       (59)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Adjusting items included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reported net income after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tax                              (21)     (22)     (22)      (43)      (15)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Impact on EPS ($)               (0.03)   (0.03)   (0.04)    (0.06)    (0.03)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Results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Revenue                         4,041    4,122    3,708     8,163     7,520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Provision for credit losses      (162)     (99)    (109)     (261)     (205)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Non-interest expense           (2,566)  (2,653)  (2,384)   (5,219)   (4,828)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Income before income taxes      1,313    1,370    1,215     2,683     2,487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Provision for income taxes       (216)    (287)    (231)     (503)     (474)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1,097    1,083      984     2,180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EPS ($)                          1.63     1.61     1.44      3.24      2.94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(i)Credit-related items 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the purchased performing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loan portfolio are comprised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of the following amounts: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Revenue                             -        -      176         -       386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Provision for credit losses         -        -      (57)        -      (139)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Increase in pre-tax income          -        -      119         -       247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Provision for income taxes          -        -      (46)        -       (95)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Increase in reported net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income after tax                   -        -       73         -       152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Adjusting items are included in Corporate Services with the exception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of the amortization of acquisition-related intangible assets, which is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charged to the operating groups.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(2)  Acquisition integration costs are included in non-interest expense.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(3)  These expenses have been designated as adjusting items because the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purchase decision may not consider the amortization of acquisition-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related intangible assets to be a relevant expense. They were charged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to the non-interest expense of the operating groups as follows: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in the second quarter of 2014: Canadian P&amp;C $2 million before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after tax; U.S. P&amp;C $16 million ($12 million after tax); Wealth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Management $9 million ($6 million after tax); and BMO Capital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Markets $1 million before and after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in the first quarter of 2014: Canadian P&amp;C $3 million ($2 million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after tax); U.S. P&amp;C $18 million ($12 million after tax);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Wealth Management $10 million ($8 million after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in the second quarter of 2013: Canadian P&amp;C $3 million before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($1 million after tax); U.S. P&amp;C $19 million ($13 million after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tax); Wealth Management $8 million ($7 million after tax); and BMO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Capital Markets $1 million before and after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for year-to-date 2014: Canadian P&amp;C $5 million before tax ($4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after tax); U.S. P&amp;C $34 million ($24 million after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Wealth Management $19 million ($14 million after tax); and BMO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Capital Markets $1 million before and after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for year-to-date 2013: Canadian P&amp;C $6 million before tax ($4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after tax); U.S. P&amp;C $38 million ($26 million after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Wealth Management $17 million ($13 million after tax); and BMO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Capital Markets $1 million before and after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(4)  Primarily comprised of valuation changes associated with these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activities that are mainly included in trading revenue in non-interest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revenue.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(5)  Restructuring charge to align our cost structure with the current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future business environment as part of a broader effort to improve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productivity.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Summary Quarterly Earnings Trends (1)                               Table 17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millions, except as    Q2-    Q1-    Q4-    Q3-    Q2-    Q1-    Q4-    Q3-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noted)                2014   2014   2013   2013   2013   2013   2012   2012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revenue         4,041  4,122  4,138  4,000  3,893  4,032  4,129  3,827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losses - specific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(see below)            162     99    189     56    174    178    216    229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(recovery of)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losses - collective      -      -      -     20    (30)     -    (24)     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Non-interest expense  2,594  2,684  2,580  2,526  2,550  2,570  2,679  2,457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Reported net income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(see below)          1,076  1,061  1,074  1,123    962  1,036  1,073    962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(see below)          1,097  1,083  1,088  1,122    984  1,029  1,116  1,005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Basic earnings per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share ($)             1.61   1.58   1.60   1.67   1.41   1.51   1.57   1.41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Diluted earnings per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share ($)             1.60   1.58   1.60   1.66   1.40   1.51   1.57   1.41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diluted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earnings per share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1.63   1.61   1.62   1.66   1.44   1.50   1.64   1.47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 interest margin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on average earning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            1.59   1.62   1.69   1.78   1.82   1.87   1.86   1.90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interest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margin on average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earning assets (%)    1.59   1.62   1.60   1.65   1.67   1.70   1.70   1.72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Effective income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rate (%)              16.2   20.8   21.6   19.7   19.8   19.3   14.7   15.1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effective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income tax rate (%)   16.5   20.9   21.5   19.2   19.0   19.0   17.1   16.0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Canadian/U.S. dollar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exchange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(average)             1.10   1.08   1.04   1.04   1.02   1.00   0.99   1.02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Provision for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losses - specific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Canadian P&amp;C          133    141    166    125    153    128    146    146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U.S. P&amp;C               50     19     96     40     55     32     75     76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Personal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Commercial Banking     183    160    262    165    208    160    221    222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Wealth Management         2     (1)     1     (1)     1      2     11      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BMO Capital Markets      (4)    (1)   (17)     2     (6)   (15)    (4)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Corporate Services,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including T&amp;O          (19)   (59)   (57)  (110)   (29)    31    (12)     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BMO Financial Group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provision for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losses - specific      162     99    189     56    174    178    216    229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Reported net income: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Canadian P&amp;C          480    484    458    486    421    447    436    452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U.S. P&amp;C              155    166    102    149    151    179    135    136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Personal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Commercial Banking     635    650    560    635    572    626    571    588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Wealth Management       194    175    311    217    140    162    164    110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BMO Capital Markets     305    277    217    268    261    298    307    240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Corporate Services,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including T&amp;O          (58)   (41)   (14)     3    (11)   (50)    31     24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BMO Financial Group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net income           1,076  1,061  1,074  1,123    962  1,036  1,073    962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Adjusted net income: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Canadian P&amp;C          482    486    461    489    422    450    438    455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U.S. P&amp;C              167    178    114    161    164    192    151    152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Personal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Commercial Banking     649    664    575    650    586    642    589    607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Wealth Management       200    183    318    224    147    168    169    116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BMO Capital Markets     306    277    217    269    262    298    308    240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Corporate Services,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including T&amp;O          (58)   (41)   (22)   (21)   (11)   (79)    50     42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BMO Financial Group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adjusted net income  1,097  1,083  1,088  1,122    984  1,029  1,116  1,005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Adjusted results in this table are non-GAAP amounts or non-GAAP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measures. Please see the Non-GAAP Measures section.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Summary Quarterly Earnings Trends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BMO's quarterly earnings trends were reviewed in detail on pages 102 and 103 of BMO's 2013 Annual Report. Readers are encouraged to refer to that review for a more complete discussion of trends and factors affecting past quarterly results including the modest impact of seasonal variations in results. Table 17 outlines summary results for the third quarter of fiscal 2012 through the second quarter of fiscal 2014. The table reflects changes in IFRS that are outlined in Note 1 to the unaudited interim consolidated financial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Periodically, certain business lines and units within the business lines are transferred between client operating groups to more closely align BMO's organizational structure and its strategic priorities. Comparative figures have been restated to conform to the current presentation.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Over the past two years, we have remained focused on executing our strategic priorities. Economic conditions have generally been stable to improving.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Canadian P&amp;C had good results in recent quarters, building on the momentum generated from the latter half of 2013. Improved net income growth in the last four quarters was driven by good revenue, while operating leverage was greater than 2% the last three quarters. Revenue growth was due to continued strong loan and deposit balance growth and moderating margin compression. Expenses have been well managed with moderate growth as a result of continued investment in the business.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Recent quarterly results in traditional wealth have been strong and have grown on a relatively consistent basis, driven by growth in client assets, better markets and a focus on productivity. The fourth quarter of 2013 included a large security gain. Quarterly results in insurance have been subject to variability, resulting primarily from changes in long-term interest rates and investment portfolio changes.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Building on the momentum at the tail-end of 2012 and improving results through 2013, BMO Capital Markets has continued to show strength in the first half of 2014, benefiting from a consistent and diversified strategy and generally favourable market conditions. BMO Capital Markets has continued to build on the success of 2013, delivering good performance with higher revenue contributing to an overall strong net income performance over the last two consecutive quarters across both the Investment and Corporate Banking and Trading Products businesses.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U.S. P&amp;C had strong results in the first quarter of 2013 and results were relatively stable in the second and third quarters due to core commercial and industrial loan growth and lower expenses compared to the prior year, offsetting lower margins and balances in certain portfolios. Results in the fourth quarter of 2013 were negatively impacted by above trend provisions for credit losses. Results improved in the first quarter of 2014, primarily driven by reductions in provisions for credit losses. Results in the second quarter of 2014 were stable. Net interest margin has declined relative to 2012, primarily due to lower loan spreads due to competitive pricing and a decline in deposit spreads given the low-rate environment.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Corporate Services quarterly net income can vary, in large part due to the inclusion of the adjusting items, which are largely recorded in Corporate Services, and recoveries of credit losses on the purchased credit impaired loan portfolio. Reduced recoveries in the first quarter of 2013 together with lower revenue and increased expenses lowered Corporate Services results that quarter. These recoveries increased in the last three quarters of 2013 and first quarter of 2014, increasing net income, and then decreased in the second quarter of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BMO's PCL measured as a percentage of loans and acceptances has been trending lower in recent quarters relative to 2012, with the exception of an increase in the fourth quarter of 2013 and in the current quarter.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Fluctuations in exchange rates in 2012 and 2013 were subdued. The U.S. dollar strengthened significantly in the first half of 2014. A stronger U.S. dollar increases the translated value of U.S.-dollar-denominated revenue, expenses, provisions for credit losses, income taxes and net income.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effective income tax rate can vary, as it depends on the timing of resolution of certain tax matters, recoveries of prior periods' income taxes and the relative proportion of earnings attributable to the different jurisdictions in which we operate.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Caution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This Summary Quarterly Earnings Trends section contains forward-looking statements. Please see the Caution Regarding Forward-Looking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Adjusted results in this Summary Quarterly Earnings Trends section are non-GAAP amounts or non-GAAP measures. Please see the Non-GAAP Measures section.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Balance Sheet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Total assets of $582.0 billion at April 30, 2014, increased $45.0 billion from October 31, 2013, including an $11.7 billion increase as a result of the stronger U.S. dollar. The increase primarily reflects growth in net loans and acceptances of $15.4 billion, securities borrowed or purchased under resale agreements of $12.2 billion, cash equivalents and interest bearing deposits with banks of $9.5 billion and securities of $8.8 billion. Other assets increased by a combined $0.5 billion, partly offset by a decrease in derivative financial assets of $1.4 billion.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The $15.4 billion increase in net loans and acceptances, included a $4.4 billion increase as a result of the stronger U.S. dollar. The remaining net loans and acceptances increase was primarily driven by loans to businesses and governments in the P&amp;C businesses and BMO Capital Markets.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$12.2 billion increase in securities borrowed or purchased under resale agreements is commensurate with the increase in securities lent or sold under repurchase agreements.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$9.5 billion increase in cash, cash equivalents and interest bearing deposits with banks was primarily due to increased balances held with central banks.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$8.8 billion increase in securities was primarily due to an increase in trading securities, reflecting higher client-driven activities.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$1.4 billion decrease in derivative financial assets and the $1.7 billion decrease in derivative financial liabilities were primarily due to the decrease in the fair value of foreign exchange contracts.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Liabilities and equity increased $45.0 billion from October 31, 2013, including an $11.7 billion increase as a result of the stronger U.S. dollar. The change primarily reflects increases in deposits of $25.6 billion, securities lent or sold under repurchase agreements of $17.2 billion, securities sold but not yet purchased of $1.9 billion, shareholders' equity of $1.7 billion, and all remaining liabilities and equity of $0.3 billion, partly offset by decreases in derivative financial liabilities of $1.7 billion.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$25.6 billion increase in deposits included a $9.6 billion increase due to the stronger U.S. dollar. Business and government deposits increased $16.6 billion, including $6.8 billion driven by the stronger U.S. dollar, with the remainder primarily due to increased wholesale funding issuances. Deposits by banks increased $2.0 billion and deposits by individuals increased $7.0 billion, with $4.9 billion driven by increases in Canadian P&amp;C and Wealth Management and the remainder driven by the impact of the stronger U.S. dollar.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Contractual obligations by year of maturity are outlined in Note 17 to the unaudited interim consolidated financial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Transactions with Related Parties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 the ordinary course of business, we provide banking services to our key management personnel, joint ventures and associates on the same terms that we offer to our customers for those services.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Bank's policies and procedures for related party transactions did not materially change from October 31, 2013, as described in Note 27 to the audited consolidated financial statements on page 177 of BMO's 2013 Annual Report.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Off-Balance Sheet Arrangements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 enters into a number of off-balance sheet arrangements in the normal course of operations. The most significant of these are Credit Instruments, Structured Entities and Guarantees, which are described on pages 65, 66 and 70 of BMO's 2013 Annual Report as well as in Notes 5 and 7 to the unaudited interim consolidated financial statements. We consolidate all of our Structured Entities, except for certain Canadian customer securitization and structured finance vehicles. See the Select Financial Instruments section for comments on any significant changes to these arrangements during the quarter ended April 30,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Accounting Policies and Critical Accounting Estimates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Significant accounting policies are described in the notes to our audited consolidated financial statements for the year ended October 31, 2013, together with a discussion of certain accounting estimates that are considered particularly important as they require management to make significant judgments, some of which relate to matters that are inherently uncertain. Readers are encouraged to review that discussion.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Effective November 1, 2013, we adopted several new and amended accounting pronouncements issued by the IASB, which are outlined in Note 1 to the unaudited interim consolidated financial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Future Changes in Accounting Policies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 monitors the potential changes proposed by IASB, and analyzes the effect that changes in the standards may have on BMO's financial reporting and accounting policies. New standards and amendments to existing standards, which are effective for the Bank in the future, can be found in Note 1 to the unaudited interim consolidated financial statements for the quarter ended April 30, 2014, and in Note 1 to the audited consolidated financial statements on pages 132 and 133 of BMO's 2013 Annual Report.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Regulatory Developments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Regulators in Canada, the United States and elsewhere are very active on a number of fronts, including consumer protection, capital markets activities, anti-money laundering, and the oversight and strengthening of risk management. These regulatory reforms can impact our operations when they pose financial costs, for example from increasing capital and liquidity requirements and cost of compliance in terms of infrastructure, and our failure to comply with laws and regulations could result in sanctions and financial penalties that could adversely affect our strategic flexibility, reputation and earnings.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We continue to monitor and prepare for regulatory developments, including those referenced elsewhere in this MD&amp;A and the recent U.S. regulatory developments set out below. For a more comprehensive discussion of U.S. regulatory developments, see the U.S. Regulatory Developments section on page 69 of BMO's 2013 Annual Report.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As a bank holding company with total consolidated assets of US$50 billion or more, our U.S. subsidiary BMO Financial Corp. (BFC) was subject to the 2014 Comprehensive Capital Analysis and Review (CCAR) rules and processes, under which BFC participated in the annual stress testing and capital planning exercise conducted by the Board of Governors of the Federal Reserve System (FRB). In late March 2014, BFC received FRB's decision to not object, on either a quantitative or a qualitative basis, to the capital plan submitted in January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FRB finalized a rule (the FBO Rule) that implements the Dodd-Frank Act's enhanced prudential standards and early remediation requirements for the U.S. operations of non-U.S. banks, such as BMO. The FBO Rule establishes new requirements relating to risk-based capital, leverage limits, liquidity standards, risk-management frameworks, concentration and credit exposure limits, resolution planning and credit exposure reporting.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Office of the Comptroller of Currency issued for comment proposed guidelines for the design and implementation of a risk governance framework for large national banks, and board of director oversight of the framework's design and implementation. As proposed, the guidelines would apply to our principal U.S. </w:t>
      </w:r>
      <w:r w:rsidRPr="001906E8">
        <w:rPr>
          <w:rFonts w:ascii="Times New Roman" w:eastAsia="Times New Roman" w:hAnsi="Times New Roman" w:cs="Times New Roman"/>
          <w:sz w:val="14"/>
          <w:szCs w:val="14"/>
        </w:rPr>
        <w:lastRenderedPageBreak/>
        <w:t xml:space="preserve">subsidiary bank, BMO Harris Bank N.A. (BHB), and establish specific roles and responsibilities focused on risk management for BHB's front line units, risk management, internal audit, board and CEO.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Volcker Rule, which prohibits banking entities and their affiliates from certain proprietary trading and specified relationships with hedge funds and private equity funds, was finalized in December 2013. The U.S. federal banking agencies, the Securities and Exchange Commission and the Commodity Futures Trading Commission have confirmed that banking entities, including BMO and certain subsidiaries, have until July 2015 to conform all of their activities and investments, or longer if the period is extended. Banking entities are expected to engage in good-faith planning efforts and work toward compliance during this period.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Consumer Financial Protection Bureau, which enforces certain U.S. federal consumer finance laws, has stated that it will closely scrutinize indirect auto lenders to focus on compliance, including with fair lending laws.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Caution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This Regulatory Developments section contains forward-looking statements. Please see the Caution Regarding Forward-Looking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Select Financial Instruments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Pages 65 and 66 of BMO's 2013 Annual Report provide enhanced disclosure relating to select financial instruments that, commencing in 2008 and based on subsequent assessments, markets had come to regard as carrying higher risk. Readers are encouraged to review that disclosure to assist in understanding the nature and extent of BMO's exposures.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Financial Stability Board (FSB) issued a report encouraging enhanced disclosure related to financial instruments that market participants had come to regard as carrying higher risk. An index of where the disclosures recommended by the Enhanced Disclosure Task Force (EDTF) of the FSB are located is provided on our website at </w:t>
      </w:r>
      <w:hyperlink r:id="rId14" w:history="1">
        <w:r w:rsidRPr="001906E8">
          <w:rPr>
            <w:rFonts w:ascii="Times New Roman" w:eastAsia="Times New Roman" w:hAnsi="Times New Roman" w:cs="Times New Roman"/>
            <w:color w:val="0000FF"/>
            <w:sz w:val="14"/>
            <w:u w:val="single"/>
          </w:rPr>
          <w:t>www.bmo.com/investorrelations</w:t>
        </w:r>
      </w:hyperlink>
      <w:r w:rsidRPr="001906E8">
        <w:rPr>
          <w:rFonts w:ascii="Times New Roman" w:eastAsia="Times New Roman" w:hAnsi="Times New Roman" w:cs="Times New Roman"/>
          <w:sz w:val="14"/>
          <w:szCs w:val="14"/>
        </w:rPr>
        <w:t xml:space="preserv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We follow a practice of reporting on significant changes in the select financial instruments since year end, if any, in our interim MD&amp;A. There have been no changes of substance from the disclosure in our 2013 Annual Report, other than the expected maturity of the $1.05 billion of Series 2013 Apex Notes that occurred on December 30, 2013.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Risk Management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Our risk management practices and key measures have not changed significantly from those outlined on pages 77 to 99 of BMO's 2013 Annual Report.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Market Risk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Linkages between Balance Sheet Items and Market Risk Disclosures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Below are parts of our consolidated balance sheet that are subject to market risk, showing balances that are mainly subject to traded risk and non-traded risk measurement techniques.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Linkages Between Balance Sheet Items and Market Risk Disclosures    Table 18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 at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Subject to Market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Risk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Consoli-                  subject  Main risk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dated              Non-     to  factors for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Balance   Traded   traded Market  non-traded risk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millions)                  Sheet risk (1) risk (2)   Risk  balances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Cash and cash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equivalents               35,082        -   35,082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Interest bearing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deposits with banks        7,069      779    6,290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Trading (3)(4)           82,426   76,482    5,944      -  credit spread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Available-for-sale       51,883   30,788   21,095      -  credit spread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Held-to-maturity          9,318        -    9,318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Other                       983        -      983      -  Equity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Securities borrowed 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purchased under resale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agreements                51,981   51,981        -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Loans and acceptances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(net of allowance for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credit losses)           294,704        -  294,704      -  foreign exchange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Derivative instruments     28,859   27,943      916      -  foreign exchange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Other assets (4)           19,740    1,330    6,364 12,046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Assets              582,045  189,303  380,696 12,046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Liabilities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Deposits                  394,007    7,241  386,766      -  foreign exchange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Derivative instruments     30,279   29,203    1,076      -  foreign exchange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Acceptances                 9,906        -    9,906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Securities sold but not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yet purchased             24,350   24,350        -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Securities lent or sold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under repurchase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agreements                46,125   46,125        -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Other liabilities (4)      40,088    1,999   37,872    217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Subordinated debt           3,965        -    3,965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Preferred share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liability                    493        -      493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Liabilities         549,213  108,918  440,078    217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 at October 31,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Subject to Market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Risk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Consoli-                  subject  Main risk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dated              Non-     to  factors for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Balance   Traded   traded Market  non-traded risk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millions)                   Sheet risk (1) risk (2)   Risk  balances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Cash and cash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equivalents               26,089        -   26,089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Interest bearing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deposits with banks        6,518    1,511    5,007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Trading (3)(4)           75,159   69,393    5,766      -  credit spread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Available-for-sale       53,710   27,817   25,893      -  credit spread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Held-to-maturity          6,032        -    6,032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Other                       899        -      899      -  Equity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Securities borrowed 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purchased under resale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agreements                39,799   39,799        -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Loans and acceptances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(net of allowance for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credit losses)           279,294        -  279,294      -  foreign exchange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Derivative instruments     30,259   29,484      775      -  foreign exchange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Other assets (4)           19,285      828    6,864 11,593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Assets              537,044  168,832  356,619 11,593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Liabilities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Deposits                  368,369    5,928  362,441      -  foreign exchange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Derivative instruments     31,974   31,184      790      -  foreign exchange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Acceptances                 8,472        -    8,472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Securities sold but not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yet purchased             22,446   22,446        -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Securities lent or sold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under repurchase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agreements                28,884   28,884        -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Other liabilities (4)      41,724    2,176   39,003    545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Subordinated debt           3,996        -    3,996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Preferred share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liability                      -        -        -      -  Interest rate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Liabilities         505,865   90,618  414,702    545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Includes BMO's balance sheet items subject to the trading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underwriting risk management framework.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(2)  Includes BMO's balance sheet items subject to the structural balance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sheet and insurance risk management framework.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(3)  Includes securities designated at fair value through profit or loss.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(4)  Includes balances relating to our insurance business.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Trading, Underwriting and Non-Trading (Structural) Market Risk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Total Trading Value at Risk (VaR) decreased over the quarter due to active portfolio rebalancing within our equity books, along with a reduction in levels of foreign exchange exposure. There was a partially offsetting decline in the overall diversification benefit. The available-for-sale (AFS) VaR remained relatively stable over the period. Total Trading Stressed VaR decreased mainly due to lower equity exposure broadly reflecting the changes in Trading VaR for the quarter.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There were no significant changes in our structural market risk management practices during the quarter. Structural economic value exposure to rising interest rates primarily reflects a lower market value for fixed-rate loans. Structural earnings exposure to falling interest rates primarily reflects the risk of prime-based loans repricing at lower rates. Economic value exposure to rising interest rates increased and earnings exposure to falling interest rates decreased primarily owing to reduced short-term asset sensitivity.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BMO's market risk management practices and key measures are outlined on pages 87 to 91 of BMO's 2013 Annual Report.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Trading Value at Risk (VaR) Summary ($ in millions)(i) (ii)   Table 19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 at     As at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For the quarter ended April 30,   January   October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2014  31, 2014  31, 2013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(Pre-tax Canadian      Quarter-                          Quarter-  Quarter-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equivalent)                end Average    High     Low       end       end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Commodity VaR              (0.8)   (0.7)   (0.9)   (0.6)     (0.5)     (0.4)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Equity VaR                 (6.1)   (6.1)  (10.0)   (5.2)     (8.5)     (6.1)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Foreign exchange VaR       (0.9)   (1.7)   (3.5)   (0.6)     (2.1)     (0.5)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Interest rate VaR          (4.3)   (8.6)  (12.6)   (4.3)     (5.7)     (4.6)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Credit VaR                 (5.3)   (5.7)   (6.4)   (5.2)     (5.6)     (5.0)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Diversification             8.6    11.1      nm      nm      10.8       7.5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Trading VaR          (8.8)  (11.7)  (14.4)   (8.6)    (11.6)     (9.1)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AFS VaR             (12.7)  (12.5)  (14.2)  (11.4)    (12.7)    (10.1)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   Total Trading VaR and AFS VaR above are subject to BMO Capital Markets</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trading management framework.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(ii)  One-day measure using a 99% confidence interval. Losses are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brackets and benefits are presented as positive numbers.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nm - not meaningful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Trading Stressed Value at Risk (SVaR) Summary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in millions)(i) (ii)                                             Table 20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 at     As at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For the quarter ended April 30,   January   October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2014  31, 2014  31, 2013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(Pre-tax Canadian      Quarter-                          Quarter-  Quarter-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equivalent)                end Average    High     Low       end       end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Commodity SVaR             (7.2)   (5.9)   (7.4)   (3.7)     (4.0)     (4.7)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Equity SVaR               (12.6)  (14.8)  (31.8)   (8.3)    (35.1)     (9.8)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Foreign exchange SVaR      (1.8)   (4.0)   (8.6)   (1.0)    (10.4)     (0.8)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Interest rate SVaR        (23.2)  (24.1)  (30.1)  (15.3)    (12.9)     (9.5)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Credit SVaR               (13.5)  (13.5)  (14.4)  (12.3)    (13.8)    (11.0)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Diversification            31.8    33.8      nm      nm      29.8      19.9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Trading SVaR        (26.5)  (28.5)  (37.2)  (22.3)    (46.4)    (15.9)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   Stressed VaR is produced weekly.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(ii)  One-day measure using a 99% confidence interval. Losses are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brackets and benefits are presented as positive numbers.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nm - not meaningful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Structural Balance Sheet Earnings and Value Sensitivity to Changes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 Interest Rates ($ in millions)(i) (ii)                          Table 21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Earnings sensitivity over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Economic value sensitivity          the next 12 months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(Pre-tax)                 (After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April   January   October     April  January  October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equivalent)       30, 2014  31, 2014  31, 2013  30, 2014 31, 2014 31,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100 basis point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increase            (649.3)   (500.3)   (503.1)     60.8     95.8     95.4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100 basis point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decrease             354.1     301.7     340.1     (60.1)   (75.0)   (90.8)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200 basis point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increase          (1,421.0) (1,090.1) (1,078.8)     85.0    158.8    158.1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200 basis point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decrease             233.5     350.8     442.7     (71.3)  (102.9)  (113.7)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  Losses are in brackets and benefits are presented as positive numbers.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(ii) For BMO's Insurance businesses, a 100 basis point increase in interest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rates at April 30, 2014, results in an increase in earnings after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of $67 million and an increase in before tax economic value of $384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($72 million and $368 million, respectively, at January 31,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2014; $81 million and $335 million, respectively, at October 31, 2013).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A 100 basis point decrease in interest rates at April 30, 2014, results</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 a decrease in earnings after tax of $57 million and a decrease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before tax economic value of $454 million ($61 million and $435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respectively, at January 31, 2014; $66 million and $399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respectively, at October 31, 2013). These impacts are not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reflected in the table above.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Liquidity and Funding Risk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Liquidity and funding risk is managed under a robust risk management framework. There were no material changes in the framework during the quarter.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Liquid and Unencumbered Assets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BMO's liquid assets are primarily held in our trading businesses and in supplemental liquidity pools that are maintained for contingency purposes. Liquid assets include unencumbered, high-quality assets that are marketable, can be pledged as security for borrowings and can be converted to cash in a time frame that meets our liquidity and funding requirements.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BMO's liquid assets are summarized in Table 22 below. In the ordinary course of the bank's day-to-day business activities, BMO may encumber a portion of cash and security holdings as collateral to support its trading activities and participation in clearing and payment systems. In addition, BMO may receive highly liquid assets as collateral and may re-pledge these assets in exchange for cash or as collateral for trading activities. Net unencumbered liquid assets, defined as on-balance sheet assets such as BMO owned cash and securities and securities borrowed or purchased under resale agreements plus other off-balance sheet eligible collateral received less collateral encumbered, totalled $170.5 billion at April 30, 2014, compared with $180.7 billion at January 31, 2014. The decrease in unencumbered liquid assets was primarily due to lower security balances. Net unencumbered liquid assets are primarily held at the parent bank level, in our U.S. legal entity BMO Harris Bank, and in BMO's broker/dealer operations in Canada and internationally. In addition to liquid assets, BMO retains access to the Bank of Canada's emergency lending assistance program, Federal Reserve Bank discount window in the U.S. and European Central Bank standby liquidity facilities. BMO does not consider central bank facilities as a source of available liquidity when assessing its liquidity position.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 addition to cash and securities holdings, BMO may also pledge other assets, including mortgages and loans, to raise long-term secured wholesale funding. Table 23 provides a summary of total encumbered and unencumbered 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Liquid Assets                                                       Table 22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 at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Carrying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Value/On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Balance        Other    Total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Sheet       Cash &amp;    Gross                     Net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Assets   Securities   Assets Encumbered Unencumbered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millions)               (1)     Received      (2)     Assets   Assets (3)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Cash and cash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equivalents          35,082            -   35,082      1,434       33,648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Deposits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other banks           7,069            -    7,069          -        7,069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Securities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borrowed 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purchased under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resale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agreements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Sovereigns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Central banks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Multilateral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Development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Banks                97,021       10,763  107,784     70,012       37,772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Mortgage-backed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securities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collateralized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mortgage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obligations          15,109          610   15,719        589       15,130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Corporate debt        22,554        6,064   28,618      3,484       25,134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Corporate equity      61,907       16,863   78,770     42,170       36,600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and 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borrowed 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purchased under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resale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agreements          196,591       34,300  230,891    116,255      114,636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NHA mortgage-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backed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(reported as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loans at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amortized cost)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(4)                  15,565            -   15,565        461       15,104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liquid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254,307       34,300  288,607    118,150      170,457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Other 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eligible at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central banks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 included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above) (5)          101,959            -  101,959        461      101,498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Undrawn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lines granted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by central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banks                     -            -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liquid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other sources       356,266       34,300  390,566    118,611      271,955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 at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January 31,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Net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(Canadian $ in  Unencumbered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millions)        Assets (3)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Cash and cash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equivalents          32,731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Deposits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other banks           6,586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Securities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borrowed 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purchased under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resale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agreements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Sovereigns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Central banks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Multilateral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Development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Banks                46,376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Mortgage-backed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securities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collateralized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mortgage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obligations          13,343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Corporate debt        25,880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Corporate equity      41,463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and 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borrowed 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purchased under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resale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agreements          127,062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NHA mortgage-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backed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(reported as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loans at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amortized cost)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(4)                  14,296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liquid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180,675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Other 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eligible at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central banks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 included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above) (5)           99,948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Undrawn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lines granted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by central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banks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liquid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other sources       280,623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The carrying values outlined in this table are consistent with the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carrying values in the Bank's balance sheet as at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(2)  Gross assets include on-balance sheet and off-balance sheet 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(3)  Net unencumbered liquid assets are defined as on-balance sheet 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such as BMO-owned cash and securities and securities borrowed 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purchased under resale agreements, plus other off-balance sheet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eligible collateral received, less encumbered 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(4)  Under IFRS, NHA mortgage-backed securities (MBS) that include BMO's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originated mortgages as the underlying collateral are classified as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loans. Unencumbered NHA MBS securities have liquidity value and are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included as liquid assets under BMO's liquidity and funding management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framework. This amount is shown as a separate line item, NHA mortgage-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backed 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(5)  Represents loans currently lodged at central banks that could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potentially be used to access central bank funding. Loans available for</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collateral do not include other sources of additional liquidity that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may be realized from the loan portfolio including incremental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securitization, covered bond issuances and Federal Home Loan Bank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(FHLB) advances.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Asset Encumbrance (Canadian $ in millions)                          Table 23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Total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Gross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(1)        Encumbered (2)         Net Unencumbered</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Available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Other         as</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As at April 30,               Pledged as      Other  unencumbered collateral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2014                         collateral encumbered           (3)        (4)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Cash and bank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deposits              42,151          -      1,434           423     40,294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Securities (5)        246,456     92,488     24,228         7,455    122,285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279,139     37,138      1,954       138,549    101,498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Other 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Derivative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Instruments         28,859          -          -        28,859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Premises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equipment            2,172          -          -         2,172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Goodwill              3,994          -          -         3,994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Intangible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1,554          -          -         1,554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Current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800          -          -           800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Deferred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2,927          -          -         2,927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Other assets          8,293          -          -         8,293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other assets     48,599          -          -        48,599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Total assets          616,345    129,626     27,616       195,026    264,077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Total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Gross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(1)        Encumbered (2)         Net Unencumbered</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Available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Other         as</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As at January 31,             Pledged as      Other  unencumbered collateral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2014                          collateral encumbered           (3)        (4)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Cash and bank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deposits              40,698          -      1,381           416     38,901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Securities (5)        255,815     87,047     27,410         7,399    133,959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Loans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acceptances          274,121     37,835      1,957       134,381     99,948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Other 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Derivative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Instruments         37,502          -          -        37,502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Premises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equipment            2,220          -          -         2,220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Goodwill              4,052          -          -         4,052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Intangible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1,558          -          -         1,558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Current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1,030          -          -         1,030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Deferred tax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assets               2,986          -          -         2,986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Other assets          8,346          -          -         8,346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other assets     57,694          -          -        57,694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assets          628,328    124,882     30,748       199,890    272,808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Gross assets include on-balance sheet and off-balance sheet 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(2)  Pledged as collateral refers to the portion of on-balance sheet assets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and other cash and securities received that is pledged through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repurchase agreements, securities lent, derivative contracts, minimum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required deposits at central banks and requirements associated with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participation in clearing houses and payment systems. Other encumbered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includes assets which are restricted from use for legal or other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reasons such as restricted cash and short sales.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(3)  Other unencumbered assets include select liquid asset holdings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management believes are not readily available to support BMO's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liquidity requirements. These include cash and securities of $7.9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billion as at April 30, 2014, which include securities held in BMO's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insurance subsidiary, credit protection vehicle, significant equity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investments, and certain investments held in our merchant banking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business. Other unencumbered assets also include mortgages and loans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that may be securitized to access secured funding.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(4)  Loans included as available as collateral represent loans currently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lodged at central banks that could potentially be used to access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central bank funding. Loans available for collateral do not include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other sources of additional liquidity that may be realized from the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loan portfolio, including incremental securitization, covered bond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issuances and FHLB advances.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(5)  Includes securities, securities borrowed or purchased under resale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agreements and NHA mortgage-backed securities (reported as loans at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amortized cost).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Funding Strategy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Our funding philosophy requires that secured and unsecured wholesale funding used to support loans and less liquid assets be longer term (typically maturing in two to ten years) to better match the term to maturity for these assets. Wholesale secured and unsecured funding for liquid trading assets is generally shorter term (maturing in one year or less), and is aligned with the liquidity of the assets being funded. Trading assets are subject to haircuts in order to reflect the potential for lower market values and liquidity during times of market stress. Supplemental liquidity pools are funded with a mix of wholesale term funding.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BMO maintains a large and stable base of customer deposits that, along with our strong capital base, is a source of strength. It supports the maintenance of a sound liquidity position and reduces our reliance on wholesale funding. Customer deposits include core deposits and larger retail and commercial fixed-rate customer deposits. Customer deposits totalled $230.4 billion at April 30, 2014, up from $227.9 billion at January 31, 2014. BMO also receives non-marketable deposits from corporate and non-financial institutional customers. These deposits totaled $29.2 billion as at April 30, 2014.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Total wholesale funding outstanding, largely consisting of negotiable marketable securities, was $162.2 billion at April 30, 2014, with $35.7 billion sourced as secured funding and $126.5 billion sourced as unsecured funding. The mix and maturities of BMO's wholesale term funding are outlined in Table 24 below. BMO maintains a sizeable portfolio of unencumbered liquid assets totaling $170.5 billion as of April 30, 2014, that can be monetized to meet potential funding requirements, as described in the Liquid and Unencumbered Assets section above.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Diversification of our wholesale funding sources is an important part of our overall liquidity management strategy. BMO's wholesale funding activities are well diversified by jurisdiction, currency, investor segment, instrument and maturity profile. BMO maintains ready access to long-term wholesale funding through various borrowing programs, including a European Note Issuance Program, Canadian and U.S. Medium Term Note Programs, Canadian and U.S. mortgage securitizations, Canadian credit card securitizations, covered bonds and Canadian and U.S. senior (unsecured) deposits.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Wholesale Funding Maturities (Canadian $ in millions) (1)           Table 24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Subtotal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Less                                less</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than 1   1 to 3   3 to 6  6 to 12   than 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As at April 30, 2014               month   months   months   months     year</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Deposits from banks (2)           11,244    4,718      817       22   16,801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Certificates of deposit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commercial paper                 15,202   23,950   13,069    5,299   57,520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Bearer deposit notes               2,146    1,567      241      211    4,165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Asset-backed commercial paper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(ABCP)                            1,265    1,431      809      110    3,615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Senior unsecured medium-term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notes                                 -        -      192    4,250    4,442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Senior unsecured structured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notes                                 2        5       11      416      434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Covered bonds / Securitizations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Mortgage securitizations             -        -      318    1,844    2,162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Covered bonds                        -        -        -    2,192    2,192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Credit card securitizations          -        -        -       42       42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Subordinated debt (3)                  -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Other (4)                              -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29,859   31,671   15,457   14,386   91,373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Of which: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Secured                          1,265    1,431    1,127    4,188    8,011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Unsecured                       28,594   30,240   14,330   10,198   83,362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(5)                         29,859   31,671   15,457   14,386   91,373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1 to 2   Over 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As at April 30, 2014               years    years    Total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Deposits from banks (2)                -        -   16,801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Certificates of deposit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commercial paper                    915        -   58,435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Bearer deposit notes                   -        -    4,165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Asset-backed commercial paper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(ABCP)                                -        -    3,615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Senior unsecured medium-term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notes                             8,783   27,177   40,402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Senior unsecured structured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notes                                44    1,017    1,495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Covered bonds / Securitizations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Mortgage securitizations         1,391   12,786   16,339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Covered bonds                    3,836    2,192    8,220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Credit card securitizations      1,307    3,621    4,970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Subordinated debt (3)                313    4,875    5,188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Other (4)                              -    2,603    2,603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16,589   54,271  162,233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Of which: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Secured                          6,534   21,202   35,747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Unsecured                       10,055   33,069  126,486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(5)                         16,589   54,271  162,233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Wholesale funding excludes repo transactions and bankers acceptances,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which are disclosed in the contractual maturity table in Note 17 of the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unaudited interim consolidated financial statements. Wholesale funding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also excludes ABCP issued by certain ABCP conduits that are not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consolidated for financial reporting purposes.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(2)  Except for deposits from banks, which primarily consist of bank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deposits sourced to support trading products activities, unsecured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funding refers to funding through issuance of marketable, negotiable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(3)  Although part of regulatory capital, subordinated debt is reported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this table in accordance with EDTF recommended disclosures.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(4)  Refers to Federal Home Loan Banks advances.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(5)  Total wholesale funding consists of Canadian-dollar-denominated funding</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of $54.4 billion and U.S.-dollar and other foreign-denominated funding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of $107.8 billion as at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In November 2013, OSFI released a consultative document, Liquidity Adequacy Requirements (LAR) Guideline. The guideline outlines the approach and methodology for a number of liquidity metrics and tools that OSFI will use to monitor and assess the liquidity adequacy of banks, including the Liquidity Coverage Ratio (LCR), Net Cumulative Cash Flow and others. The guideline is expected to be finalized in the near term. Under the guideline, Canadian banks will be required to maintain a LCR above 100%, effective January 1, 2015.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 January 2014, the Basel Committee on Banking Supervision (BCBS) released a revised consultative document on the Net Stable Funding Ratio (NSFR). The industry provided feedback on the proposal to the BCBS in the second quarter of 2014. The NSFR is expected to be implemented on January 1, 2018.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Credit Rating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credit ratings assigned to BMO's short-term and senior long-term debt securities by external rating agencies are important in the raising of both capital and funding to support our business operations. Maintaining strong credit ratings allows us to access the capital markets at competitive pricing levels. Should our credit ratings experience a material downgrade, our cost of funds would likely increase significantly and our access to funding and capital through capital markets could be reduced. A material downgrade of our ratings could have other consequences, including those set out in Note 10 to the audited consolidated financial statements on page 150 of BMO's 2013 Annual Report.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 credit ratings assigned to BMO's senior debt by the rating agencies are indicative of high-grade, high-quality issues. The ratings as at April 30, 2014, were as follows: DBRS (AA); Fitch (AA-); Moody's (Aa3); and Standard &amp; Poor's (A+).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We are required to deliver collateral to certain counterparties in the event of a downgrade to our current credit rating. The incremental collateral required is based on mark-to-market exposure, collateral valuations and collateral threshold arrangements, as applicable. As at April 30, 2014, the bank would be required to provide additional collateral to counterparties totalling $91 million, $403 million and $559 million under a one-notch, two-notch and three-notch downgrade, respectively.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Insurance Risk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There were no significant changes in the risk management practices or risk levels of our insurance business during the quarter. BMO's insurance risk management practices are outlined on pages 95 and 96 of BMO's 2013 Annual Report.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Information and Cyber Security Risk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lastRenderedPageBreak/>
        <w:t xml:space="preserve">There were no significant changes in our information and cyber security risk management practices during the quarter from those described in the Information and Cyber Security Risk section on page 79 and in the Operational Risk section on page 94 of BMO's 2013 Annual Report.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Select Geographic Exposures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Select geographic exposures were disclosed and discussed on pages 67, 68, 119 and 120 of BMO's 2013 Annual Report. Our exposure to select countries of interest, as at April 30, 2014, is set out in the tables that follow, which summarize our exposure to Greece, Ireland, Italy, Portugal and Spain (GIIPS) along with a broader group of countries of interest in Europe where our gross exposure is greater than $500 million. Our net portfolio exposures are summarized in Table 25 and 26 for funded lending, securities (inclusive of credit default swaps (CDS) activity), repo-style transactions and derivatives. There has been limited change to our exposures compared with January 31, 2014, and October 31,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European Exposure by Country and Counterparty (11)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(Canadian $ in millions)                                            Table 25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As at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Funded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Lending               Securities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(1)                 (2)(10)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Sovereign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Country                        Total      Bank Corporate       (9)     Total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GIIPS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Greece                             -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Ireland (5)                        6         -         1         -         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Italy                             39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Portugal                           -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Spain                             79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GIIPS (6)                124         -         1         -         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Eurozone (excluding GIIPS)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France                            14         -         -       446       446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Germany                           37         4        32     1,316     1,352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Netherlands                      295       707         7       110       824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Other (7)                        212         -         2       382       384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Eurozone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(excluding GIIPS) (8)           558       711        41     2,254     3,006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Rest of Europe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Denmark                            7       560         -       163       723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Norway                            14     1,214         2         -     1,216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Russian Federation               579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Sweden                            71       270         -         -       270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Switzerland                      140         1         2         -         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United Kingdom                   248        58        50       187       295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Other (7)                          -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Total - Rest of Europe (8)     1,059     2,103        54       350     2,507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All of Europe          1,741     2,814        96     2,604     5,514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As at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Repo-Style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Transactions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and Derivatives (3)(4)              Total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Sovereign                 Net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Country                         Bank Corporate       (9)     Total  Exposure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GIIPS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Greece                             -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Ireland (5)                       34         3         -        37        44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Italy                              4         1         -         5        44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Portugal                           -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Spain                              9         -         -         9        88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GIIPS (6)                 47         4         -        51       176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Eurozone (excluding GIIPS)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France                           167         -         4       171       631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Germany                           72         -         -        72     1,461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Netherlands                       54         5         -        59     1,178</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Other (7)                         45         6         4        55       651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Eurozone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(excluding GIIPS) (8)           338        11         8       357     3,921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Rest of Europe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Denmark                            -         -         -         -       730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Norway                             -         -         -         -     1,230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Russian Federation                 -         -         -         -       579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Sweden                             6         -         -         6       347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Switzerland                        8         -         -         8       151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United Kingdom                   504        15         -       519     1,062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Other (7)                          1         -         -         1         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Rest of Europe (8)       519        15         -       534     4,100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All of Europe            904        30         8       942     8,197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As at January 31,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Funded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Lending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(1)                          Securities (2)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Sovereign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Country                        Total      Bank Corporate       (9)     Total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GIIPS (6)                102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Eurozone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(excluding GIIPS) (8)           481       687        36     2,402     3,125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Rest of Europe (8)     1,149     2,251        49       269     2,569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All of Europe          1,732     2,938        85     2,671     5,694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As at January 31,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Repo-Style Transactions and Derivatives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(3)(4)     Total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Sovereign                 Net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Country                         Bank Corporate       (9)     Total  Exposure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GIIPS (6)                  6        12         -        18       120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Eurozone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(excluding GIIPS) (8)           130        29         7       166     3,772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Rest of Europe (8)       119        25         -       144     3,862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All of Europe            255        66         7       328     7,754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As at October 31,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Funded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Lending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(1)                          Securities (2)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Sovereign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Country                        Total      Bank Corporate       (9)     Total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GIIPS (6)                 79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Eurozone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(excluding GIIPS) (8)           462       626        42     2,111     2,779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Rest of Europe (8)       956     2,058        40       674     2,772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All of Europe          1,497     2,684        82     2,785     5,551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As at October 31, 2013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Repo-Style Transactions and Derivatives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(3)(4)     Total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Sovereign                 Net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Country                         Bank Corporate       (9)     Total  Exposure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GIIPS (6)                  5         2         -         7        86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Eurozone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(excluding GIIPS) (8)           113         6         1       120     3,361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Rest of Europe (8)       153        19         -       172     3,900</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Total - All of Europe            271        27         1       299     7,347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Refer to footnotes in Table 26.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European Lending Exposure by Country and Counterparty (11)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(Canadian $ in millions)                                           Table 26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Lending (1)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Funded Lending as at April 30, 2014 As at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Sovereign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Country                  Bank   Corporate          (9)  Commitments  Funded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GIIPS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Greece                      -           -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Ireland (5)                 -           6            -          100       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Italy                      39           -            -           39      39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Portugal                    -           -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Spain                      79           -            -           89      79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GIIPS             118           6            -          228     124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Eurozone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(excluding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GIIPS)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France                     14           -            -           60      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Germany                    31           6            -           37      37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Netherlands                27         268            -          559     295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Other (7)                 149          63            -          429     212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Eurozone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(excluding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GIIPS)                   221         337            -        1,085     558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Rest of Europe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Denmark                     7           -            -            7       7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Norway                     14           -            -           14      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Russian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Federation               552          27            -          579     579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Sweden                     23          48            -          176      71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Switzerland                 3         137            -          370     140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United Kingdom            136         112            -          397     248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Other (7)                   -           -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Rest of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Europe                   735         324            -        1,543   1,059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All of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Europe                 1,074         667            -        2,856   1,741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Lending (1)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As at January 31, 2014    As at October 31, 2013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Country           Commitments      Funded  Commitments       Funded</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GIIPS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Greece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Ireland (5)                32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Italy                      24          24            2            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Portugal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Spain                      88          78           77           77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Total - GIIPS             144         102           79           79</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Eurozone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(excluding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GIIPS)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France                     58          16           22           22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Germany                    34          33           21           21</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Netherlands               331         163          338          163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Other (7)                 466         269          421          256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Eurozone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(excluding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GIIPS)                   889         481          802          462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Rest of Europe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Denmark                    15          15           15           15</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Norway                     19          19           16           16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Russian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Federation               639         639          476          476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Sweden                    184          82          121           64</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Switzerland               506         163          546          163</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United Kingdom            386         231          485          222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Other (7)                   -           -            -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Rest of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Europe                 1,749       1,149        1,659          956</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Total - All of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Europe                 2,782       1,732        2,540        1,497</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   Lending includes loans and trade finance. Amounts are net of write-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offs and gross of specific allowances, both of which are not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considered material.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(2)   Securities include cash products, insurance investments and traded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credit.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(3)   Repo-style transactions are primarily with bank counterparties against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which BMO holds collateral ($137 million for GIIPS, $9.5 billion for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other Eurozone countries and $5.1 billion for the rest of Europe as at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(4)   Derivatives amounts are marked-to-market, incorporating transaction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netting and, for counterparties where a Credit Support Annex is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effect, collateral offsets. Derivative replacement risk net of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collateral for all of Europe is approximately $5.5 billion as at April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(5)   Does not include Irish subsidiary reserves we are required to maintain</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with the Irish Central Bank of $86 million as at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(6)   BMO's direct exposures to GIIPS are primarily to banks for trade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finance and trading products. Net exposures remain modest at $176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with $104 million unfunded commitments as at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(7)   Includes countries with less than $500 million in gross exposure.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Other Eurozone includes exposures to Austria, Belgium, Cyprus,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Finland, Luxembourg, Slovakia and Slovenia. Other Rest of Europe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includes exposures to Croatia, Czech Republic, Hungary, Iceland 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Poland.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(8)   BMO's net direct exposure to the other Eurozone countries (the other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12 countries that share the common euro currency) as at April 30,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2014, totalled approximately $3.9 billion, of which 51% was to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counterparties in countries with a rating of Aaa/AAA by both Moody's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and S&amp;P, with approximately 82% rated Aaa/AAA by one of the two rating</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agencies. Our net direct exposure to the rest of Europe totalled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approximately $4.1 billion, of which 60% was to counterparties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countries with a Moody's/S&amp;P rating of Aaa/AAA. A significant majority</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of our sovereign exposure consists of tradable cash products, while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exposure related to banks was comprised of trading instruments, short-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term debt, derivative positions and letters of credit and guarantees.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(9)   Sovereign includes sovereign-backed bank cash products.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(10)  BMO's total net notional CDS exposure (embedded as part of the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securities exposure table) to Europe is less than $150 million, with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 net CDS exposure to GIIPS countries as at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(11)  Other exposures (including indirect exposures) not included in the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tables as at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BMO also has exposure to entities in a number of European countries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through our credit protection vehicle and U.S. customer securitization</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vehicle. These exposures are not included in the tables due to the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credit protection incorporated in their structures.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BMO has direct exposure to those credit structures, which in turn</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have exposures to loans or securities originated by entities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Europe. As noted on page 66 in BMO's 2013 Annual Report, in the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Credit Protection Vehicle section, this structure has first-loss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protection and hedges are in place.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The notional exposure held in the credit protection vehicle to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issuers in Greece, Italy and Spain represented 4.2%, of its total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notional exposure. The credit protection vehicle had notional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exposure to five of the other 12 countries that share the euro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currency. This exposure represented 11.8% of total notional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exposure, of which 79% was rated investment grade by both S&amp;P and</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Moody's. The notional exposure to the rest of Europe was 15.1% of</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total notional exposure, with 89% rated investment grade by S&amp;P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(83% by Moody's). The vehicle benefits from significant risk loss</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protection and as a result residual credit risk is very low.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BMO has exposure to GIIPS and other European countries through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our U.S. customer securitization vehicle, which has commitments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that involve reliance on collateral of which 0.14% represents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loans or securities originated by entities in Europe. At quarter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end, exposure to Spain was the largest component at 0.06%.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Exposure to Luxembourg was approximately 0.04%, and there was no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exposure to Italy, Ireland, Greece or Portugal.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BMO has exposure to European supranational institutions totalling $0.2</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billion, predominantly in the form of tradable cash products.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BMO's indirect exposure to Europe in the form of euro-denominated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collateral to support trading activity was EUR1,216 million in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securities issued by entities in European countries, of which EUR43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was held in securities related to GIIPS and EUR648 million was</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in French securities. In addition, EUR1,049 million of cash collateral</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      was also held at April 30, 2014.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  Indirect exposure by way of guarantees from entities in European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countries totalled $747.3 million, of which $5.4 million was exposure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to GIIPS, $426.7 million to the other Eurozone countries and $315.2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million to the rest of Europe.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Caution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This Risk Management section contains forward-looking statements. Please see the Caution Regarding Forward-Looking Statements.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INVESTOR AND MEDIA PRESENTATION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Investor Presentation Materials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Interested parties are invited to visit our website at </w:t>
      </w:r>
      <w:hyperlink r:id="rId15" w:history="1">
        <w:r w:rsidRPr="001906E8">
          <w:rPr>
            <w:rFonts w:ascii="Times New Roman" w:eastAsia="Times New Roman" w:hAnsi="Times New Roman" w:cs="Times New Roman"/>
            <w:color w:val="0000FF"/>
            <w:sz w:val="14"/>
            <w:u w:val="single"/>
          </w:rPr>
          <w:t>www.bmo.com/investorrelations</w:t>
        </w:r>
      </w:hyperlink>
      <w:r w:rsidRPr="001906E8">
        <w:rPr>
          <w:rFonts w:ascii="Times New Roman" w:eastAsia="Times New Roman" w:hAnsi="Times New Roman" w:cs="Times New Roman"/>
          <w:sz w:val="14"/>
          <w:szCs w:val="14"/>
        </w:rPr>
        <w:t xml:space="preserve"> to review our 2013 Annual Report, this quarterly news release, presentation materials and supplementary financial information package online.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Quarterly Conference Call and Webcast Presentations </w:t>
      </w:r>
    </w:p>
    <w:p w:rsidR="001906E8" w:rsidRPr="001906E8" w:rsidRDefault="001906E8" w:rsidP="001906E8">
      <w:pPr>
        <w:spacing w:beforeAutospacing="1" w:after="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Interested parties are also invited to listen to our quarterly conference call on Wednesday, May 28, 2014, at 2:00 p.m. (EDT). At that time, senior BMO executives will comment on results for the quarter and respond to questions from the investor community. The call may be accessed by telephone at </w:t>
      </w:r>
      <w:r w:rsidRPr="001906E8">
        <w:rPr>
          <w:rFonts w:ascii="Times New Roman" w:eastAsia="Times New Roman" w:hAnsi="Times New Roman" w:cs="Times New Roman"/>
          <w:sz w:val="14"/>
        </w:rPr>
        <w:t>416-695-9753</w:t>
      </w:r>
      <w:r w:rsidRPr="001906E8">
        <w:rPr>
          <w:rFonts w:ascii="Times New Roman" w:eastAsia="Times New Roman" w:hAnsi="Times New Roman" w:cs="Times New Roman"/>
          <w:sz w:val="14"/>
          <w:szCs w:val="14"/>
        </w:rPr>
        <w:t xml:space="preserve"> (from within Toronto) or </w:t>
      </w:r>
      <w:r w:rsidRPr="001906E8">
        <w:rPr>
          <w:rFonts w:ascii="Times New Roman" w:eastAsia="Times New Roman" w:hAnsi="Times New Roman" w:cs="Times New Roman"/>
          <w:sz w:val="14"/>
        </w:rPr>
        <w:t>1-888-789-0089</w:t>
      </w:r>
      <w:r w:rsidRPr="001906E8">
        <w:rPr>
          <w:rFonts w:ascii="Times New Roman" w:eastAsia="Times New Roman" w:hAnsi="Times New Roman" w:cs="Times New Roman"/>
          <w:sz w:val="14"/>
          <w:szCs w:val="14"/>
        </w:rPr>
        <w:t xml:space="preserve"> (toll-free outside Toronto). A replay of the conference call can be accessed until Monday August 25, 2014, by calling </w:t>
      </w:r>
      <w:r w:rsidRPr="001906E8">
        <w:rPr>
          <w:rFonts w:ascii="Times New Roman" w:eastAsia="Times New Roman" w:hAnsi="Times New Roman" w:cs="Times New Roman"/>
          <w:sz w:val="14"/>
        </w:rPr>
        <w:t>905-694-9451</w:t>
      </w:r>
      <w:r w:rsidRPr="001906E8">
        <w:rPr>
          <w:rFonts w:ascii="Times New Roman" w:eastAsia="Times New Roman" w:hAnsi="Times New Roman" w:cs="Times New Roman"/>
          <w:sz w:val="14"/>
          <w:szCs w:val="14"/>
        </w:rPr>
        <w:t xml:space="preserve"> (from within Toronto) or </w:t>
      </w:r>
      <w:r w:rsidRPr="001906E8">
        <w:rPr>
          <w:rFonts w:ascii="Times New Roman" w:eastAsia="Times New Roman" w:hAnsi="Times New Roman" w:cs="Times New Roman"/>
          <w:sz w:val="14"/>
        </w:rPr>
        <w:t>1-800-408-3053</w:t>
      </w:r>
      <w:r w:rsidRPr="001906E8">
        <w:rPr>
          <w:rFonts w:ascii="Times New Roman" w:eastAsia="Times New Roman" w:hAnsi="Times New Roman" w:cs="Times New Roman"/>
          <w:sz w:val="14"/>
          <w:szCs w:val="14"/>
        </w:rPr>
        <w:t xml:space="preserve"> (toll-free outside Toronto) and entering passcode 6766952. </w:t>
      </w:r>
    </w:p>
    <w:p w:rsidR="001906E8" w:rsidRPr="001906E8" w:rsidRDefault="001906E8" w:rsidP="001906E8">
      <w:pPr>
        <w:spacing w:before="100" w:beforeAutospacing="1" w:after="100" w:afterAutospacing="1" w:line="360" w:lineRule="atLeast"/>
        <w:rPr>
          <w:rFonts w:ascii="Times New Roman" w:eastAsia="Times New Roman" w:hAnsi="Times New Roman" w:cs="Times New Roman"/>
          <w:sz w:val="14"/>
          <w:szCs w:val="14"/>
        </w:rPr>
      </w:pPr>
      <w:r w:rsidRPr="001906E8">
        <w:rPr>
          <w:rFonts w:ascii="Times New Roman" w:eastAsia="Times New Roman" w:hAnsi="Times New Roman" w:cs="Times New Roman"/>
          <w:sz w:val="14"/>
          <w:szCs w:val="14"/>
        </w:rPr>
        <w:t xml:space="preserve">A live webcast of the call can be accessed on our website at </w:t>
      </w:r>
      <w:hyperlink r:id="rId16" w:history="1">
        <w:r w:rsidRPr="001906E8">
          <w:rPr>
            <w:rFonts w:ascii="Times New Roman" w:eastAsia="Times New Roman" w:hAnsi="Times New Roman" w:cs="Times New Roman"/>
            <w:color w:val="0000FF"/>
            <w:sz w:val="14"/>
            <w:u w:val="single"/>
          </w:rPr>
          <w:t>www.bmo.com/investorrelations</w:t>
        </w:r>
      </w:hyperlink>
      <w:r w:rsidRPr="001906E8">
        <w:rPr>
          <w:rFonts w:ascii="Times New Roman" w:eastAsia="Times New Roman" w:hAnsi="Times New Roman" w:cs="Times New Roman"/>
          <w:sz w:val="14"/>
          <w:szCs w:val="14"/>
        </w:rPr>
        <w:t xml:space="preserve">. A replay can also be accessed on the site.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Shareholder Dividend Reinvestment and  For other shareholder information,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Share Purchase Plan (the Plan)         including the notice for our normal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Average market price as defined under  course issuer bid, please contact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the Plan                               Bank of Montreal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February $72.93                        Shareholder Services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March $74.09                           Corporate Secretary's Department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April $75.75                           One First Canadian Place, 21st Floor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Toronto, Ontario M5X 1A1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For dividend information, change in    Telephone: (416) 867-6785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shareholder address or to advise of    Fax: (416) 867-6793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duplicate mailings, please contact     E-mail: </w:t>
      </w:r>
      <w:hyperlink r:id="rId17" w:history="1">
        <w:r w:rsidRPr="001906E8">
          <w:rPr>
            <w:rFonts w:ascii="Courier New" w:eastAsia="Times New Roman" w:hAnsi="Courier New" w:cs="Courier New"/>
            <w:color w:val="0000FF"/>
            <w:sz w:val="20"/>
            <w:u w:val="single"/>
          </w:rPr>
          <w:t>corp.secretary@bmo.com</w:t>
        </w:r>
      </w:hyperlink>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Computershare Trust Company of Canada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100 University Avenue, 9th Floor       For further information on this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Toronto, Ontario M5J 2Y1               report, please contact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Telephone: 1-800-340-5021 (Canada and  Bank of Montreal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the United States)                     Investor Relations Department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Telephone: (514) 982-7800              P.O. Box 1, One First Canadian Place,</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(international)                        18th Floor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Fax: 1-888-453-0330 (Canada and the    Toronto, Ontario M5X 1A1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lastRenderedPageBreak/>
        <w:t xml:space="preserve">United States)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Fax: (416) 263-9394 (international)    To review financial results online,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E-mail: </w:t>
      </w:r>
      <w:hyperlink r:id="rId18" w:history="1">
        <w:r w:rsidRPr="001906E8">
          <w:rPr>
            <w:rFonts w:ascii="Courier New" w:eastAsia="Times New Roman" w:hAnsi="Courier New" w:cs="Courier New"/>
            <w:color w:val="0000FF"/>
            <w:sz w:val="20"/>
            <w:u w:val="single"/>
          </w:rPr>
          <w:t>service@computershare.com</w:t>
        </w:r>
      </w:hyperlink>
      <w:r w:rsidRPr="001906E8">
        <w:rPr>
          <w:rFonts w:ascii="Courier New" w:eastAsia="Times New Roman" w:hAnsi="Courier New" w:cs="Courier New"/>
          <w:sz w:val="20"/>
          <w:szCs w:val="20"/>
        </w:rPr>
        <w:t xml:space="preserve">      please visit our website at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hyperlink r:id="rId19" w:history="1">
        <w:r w:rsidRPr="001906E8">
          <w:rPr>
            <w:rFonts w:ascii="Courier New" w:eastAsia="Times New Roman" w:hAnsi="Courier New" w:cs="Courier New"/>
            <w:color w:val="0000FF"/>
            <w:sz w:val="20"/>
            <w:u w:val="single"/>
          </w:rPr>
          <w:t>www.bmo.com</w:t>
        </w:r>
      </w:hyperlink>
      <w:r w:rsidRPr="001906E8">
        <w:rPr>
          <w:rFonts w:ascii="Courier New" w:eastAsia="Times New Roman" w:hAnsi="Courier New" w:cs="Courier New"/>
          <w:sz w:val="20"/>
          <w:szCs w:val="20"/>
        </w:rPr>
        <w:t xml:space="preserve">. To review regulatory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filings and disclosures online,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please visit our website at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 xml:space="preserve">                                       </w:t>
      </w:r>
      <w:hyperlink r:id="rId20" w:history="1">
        <w:r w:rsidRPr="001906E8">
          <w:rPr>
            <w:rFonts w:ascii="Courier New" w:eastAsia="Times New Roman" w:hAnsi="Courier New" w:cs="Courier New"/>
            <w:color w:val="0000FF"/>
            <w:sz w:val="20"/>
            <w:u w:val="single"/>
          </w:rPr>
          <w:t>www.bmo.com/investorrelations</w:t>
        </w:r>
      </w:hyperlink>
      <w:r w:rsidRPr="001906E8">
        <w:rPr>
          <w:rFonts w:ascii="Courier New" w:eastAsia="Times New Roman" w:hAnsi="Courier New" w:cs="Courier New"/>
          <w:sz w:val="20"/>
          <w:szCs w:val="20"/>
        </w:rPr>
        <w:t xml:space="preserve">.       </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906E8">
        <w:rPr>
          <w:rFonts w:ascii="Courier New" w:eastAsia="Times New Roman" w:hAnsi="Courier New" w:cs="Courier New"/>
          <w:sz w:val="20"/>
          <w:szCs w:val="20"/>
        </w:rPr>
        <w:t>----------------------------------------------------------------------------</w:t>
      </w:r>
    </w:p>
    <w:p w:rsidR="001906E8" w:rsidRPr="001906E8" w:rsidRDefault="001906E8" w:rsidP="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xml:space="preserve">® Registered trademark of Bank of Montreal </w:t>
      </w:r>
    </w:p>
    <w:p w:rsidR="001906E8" w:rsidRPr="001906E8" w:rsidRDefault="001906E8" w:rsidP="001906E8">
      <w:pPr>
        <w:spacing w:after="0" w:line="240" w:lineRule="auto"/>
        <w:rPr>
          <w:rFonts w:ascii="Times New Roman" w:eastAsia="Times New Roman" w:hAnsi="Times New Roman" w:cs="Times New Roman"/>
          <w:sz w:val="24"/>
          <w:szCs w:val="24"/>
        </w:rPr>
      </w:pPr>
      <w:r w:rsidRPr="001906E8">
        <w:rPr>
          <w:rFonts w:ascii="Times New Roman" w:eastAsia="Times New Roman" w:hAnsi="Times New Roman" w:cs="Times New Roman"/>
          <w:sz w:val="24"/>
          <w:szCs w:val="24"/>
        </w:rPr>
        <w:t> </w:t>
      </w:r>
    </w:p>
    <w:p w:rsidR="001906E8" w:rsidRPr="001906E8" w:rsidRDefault="001906E8" w:rsidP="001906E8">
      <w:pPr>
        <w:rPr>
          <w:kern w:val="36"/>
        </w:rPr>
      </w:pPr>
      <w:r w:rsidRPr="001906E8">
        <w:rPr>
          <w:kern w:val="36"/>
        </w:rPr>
        <w:t>Contact Information</w:t>
      </w:r>
    </w:p>
    <w:p w:rsidR="001906E8" w:rsidRPr="001906E8" w:rsidRDefault="001906E8" w:rsidP="001906E8">
      <w:pPr>
        <w:rPr>
          <w:sz w:val="14"/>
          <w:szCs w:val="14"/>
        </w:rPr>
      </w:pPr>
      <w:r w:rsidRPr="001906E8">
        <w:rPr>
          <w:sz w:val="14"/>
          <w:szCs w:val="14"/>
        </w:rPr>
        <w:t>Contacts:</w:t>
      </w:r>
      <w:r w:rsidRPr="001906E8">
        <w:rPr>
          <w:sz w:val="14"/>
          <w:szCs w:val="14"/>
        </w:rPr>
        <w:br/>
        <w:t>Media Relations Contacts</w:t>
      </w:r>
      <w:r w:rsidRPr="001906E8">
        <w:rPr>
          <w:sz w:val="14"/>
          <w:szCs w:val="14"/>
        </w:rPr>
        <w:br/>
        <w:t>Ralph Marranca, Toronto</w:t>
      </w:r>
      <w:r w:rsidRPr="001906E8">
        <w:rPr>
          <w:sz w:val="14"/>
          <w:szCs w:val="14"/>
        </w:rPr>
        <w:br/>
      </w:r>
      <w:hyperlink r:id="rId21" w:history="1">
        <w:r w:rsidRPr="001906E8">
          <w:rPr>
            <w:color w:val="0000FF"/>
            <w:sz w:val="14"/>
            <w:u w:val="single"/>
          </w:rPr>
          <w:t>ralph.marranca@bmo.com</w:t>
        </w:r>
      </w:hyperlink>
      <w:r w:rsidRPr="001906E8">
        <w:rPr>
          <w:sz w:val="14"/>
          <w:szCs w:val="14"/>
        </w:rPr>
        <w:br/>
      </w:r>
      <w:r w:rsidRPr="001906E8">
        <w:rPr>
          <w:sz w:val="14"/>
        </w:rPr>
        <w:t>416-867-3996</w:t>
      </w:r>
      <w:r w:rsidRPr="001906E8">
        <w:rPr>
          <w:sz w:val="14"/>
          <w:szCs w:val="14"/>
        </w:rPr>
        <w:br/>
      </w:r>
      <w:r w:rsidRPr="001906E8">
        <w:rPr>
          <w:sz w:val="14"/>
          <w:szCs w:val="14"/>
        </w:rPr>
        <w:br/>
        <w:t>Ronald Monet, Montreal</w:t>
      </w:r>
      <w:r w:rsidRPr="001906E8">
        <w:rPr>
          <w:sz w:val="14"/>
          <w:szCs w:val="14"/>
        </w:rPr>
        <w:br/>
      </w:r>
      <w:hyperlink r:id="rId22" w:history="1">
        <w:r w:rsidRPr="001906E8">
          <w:rPr>
            <w:color w:val="0000FF"/>
            <w:sz w:val="14"/>
            <w:u w:val="single"/>
          </w:rPr>
          <w:t>ronald.monet@bmo.com</w:t>
        </w:r>
      </w:hyperlink>
      <w:r w:rsidRPr="001906E8">
        <w:rPr>
          <w:sz w:val="14"/>
          <w:szCs w:val="14"/>
        </w:rPr>
        <w:br/>
      </w:r>
      <w:r w:rsidRPr="001906E8">
        <w:rPr>
          <w:sz w:val="14"/>
        </w:rPr>
        <w:t>514-877-1873</w:t>
      </w:r>
      <w:r w:rsidRPr="001906E8">
        <w:rPr>
          <w:sz w:val="14"/>
          <w:szCs w:val="14"/>
        </w:rPr>
        <w:br/>
      </w:r>
      <w:r w:rsidRPr="001906E8">
        <w:rPr>
          <w:sz w:val="14"/>
          <w:szCs w:val="14"/>
        </w:rPr>
        <w:br/>
        <w:t>Investor Relations Contacts</w:t>
      </w:r>
      <w:r w:rsidRPr="001906E8">
        <w:rPr>
          <w:sz w:val="14"/>
          <w:szCs w:val="14"/>
        </w:rPr>
        <w:br/>
        <w:t>Sharon Haward-Laird</w:t>
      </w:r>
      <w:r w:rsidRPr="001906E8">
        <w:rPr>
          <w:sz w:val="14"/>
          <w:szCs w:val="14"/>
        </w:rPr>
        <w:br/>
        <w:t>Head, Investor Relations</w:t>
      </w:r>
      <w:r w:rsidRPr="001906E8">
        <w:rPr>
          <w:sz w:val="14"/>
          <w:szCs w:val="14"/>
        </w:rPr>
        <w:br/>
      </w:r>
      <w:hyperlink r:id="rId23" w:history="1">
        <w:r w:rsidRPr="001906E8">
          <w:rPr>
            <w:color w:val="0000FF"/>
            <w:sz w:val="14"/>
            <w:u w:val="single"/>
          </w:rPr>
          <w:t>sharon.hawardlaird@bmo.com</w:t>
        </w:r>
      </w:hyperlink>
      <w:r w:rsidRPr="001906E8">
        <w:rPr>
          <w:sz w:val="14"/>
          <w:szCs w:val="14"/>
        </w:rPr>
        <w:br/>
      </w:r>
      <w:r w:rsidRPr="001906E8">
        <w:rPr>
          <w:sz w:val="14"/>
        </w:rPr>
        <w:t>416-867-6656</w:t>
      </w:r>
      <w:r w:rsidRPr="001906E8">
        <w:rPr>
          <w:sz w:val="14"/>
          <w:szCs w:val="14"/>
        </w:rPr>
        <w:br/>
      </w:r>
      <w:r w:rsidRPr="001906E8">
        <w:rPr>
          <w:sz w:val="14"/>
          <w:szCs w:val="14"/>
        </w:rPr>
        <w:br/>
        <w:t>Andrew Chin</w:t>
      </w:r>
      <w:r w:rsidRPr="001906E8">
        <w:rPr>
          <w:sz w:val="14"/>
          <w:szCs w:val="14"/>
        </w:rPr>
        <w:br/>
        <w:t>Director, Investor Relations</w:t>
      </w:r>
      <w:r w:rsidRPr="001906E8">
        <w:rPr>
          <w:sz w:val="14"/>
          <w:szCs w:val="14"/>
        </w:rPr>
        <w:br/>
      </w:r>
      <w:hyperlink r:id="rId24" w:history="1">
        <w:r w:rsidRPr="001906E8">
          <w:rPr>
            <w:color w:val="0000FF"/>
            <w:sz w:val="14"/>
            <w:u w:val="single"/>
          </w:rPr>
          <w:t>andrew.chin@bmo.com</w:t>
        </w:r>
      </w:hyperlink>
      <w:r w:rsidRPr="001906E8">
        <w:rPr>
          <w:sz w:val="14"/>
          <w:szCs w:val="14"/>
        </w:rPr>
        <w:br/>
      </w:r>
      <w:r w:rsidRPr="001906E8">
        <w:rPr>
          <w:sz w:val="14"/>
        </w:rPr>
        <w:t>416-867-7019</w:t>
      </w:r>
      <w:r w:rsidRPr="001906E8">
        <w:rPr>
          <w:sz w:val="14"/>
          <w:szCs w:val="14"/>
        </w:rPr>
        <w:br/>
      </w:r>
      <w:r w:rsidRPr="001906E8">
        <w:rPr>
          <w:sz w:val="14"/>
          <w:szCs w:val="14"/>
        </w:rPr>
        <w:br/>
        <w:t>Chief Financial Officer</w:t>
      </w:r>
      <w:r w:rsidRPr="001906E8">
        <w:rPr>
          <w:sz w:val="14"/>
          <w:szCs w:val="14"/>
        </w:rPr>
        <w:br/>
        <w:t>Tom Flynn</w:t>
      </w:r>
      <w:r w:rsidRPr="001906E8">
        <w:rPr>
          <w:sz w:val="14"/>
          <w:szCs w:val="14"/>
        </w:rPr>
        <w:br/>
      </w:r>
      <w:hyperlink r:id="rId25" w:history="1">
        <w:r w:rsidRPr="001906E8">
          <w:rPr>
            <w:color w:val="0000FF"/>
            <w:sz w:val="14"/>
            <w:u w:val="single"/>
          </w:rPr>
          <w:t>tom.flynn@bmo.com</w:t>
        </w:r>
      </w:hyperlink>
      <w:r w:rsidRPr="001906E8">
        <w:rPr>
          <w:sz w:val="14"/>
          <w:szCs w:val="14"/>
        </w:rPr>
        <w:br/>
      </w:r>
      <w:r w:rsidRPr="001906E8">
        <w:rPr>
          <w:sz w:val="14"/>
        </w:rPr>
        <w:t>416-867-4689</w:t>
      </w:r>
      <w:r w:rsidRPr="001906E8">
        <w:rPr>
          <w:sz w:val="14"/>
          <w:szCs w:val="14"/>
        </w:rPr>
        <w:br/>
      </w:r>
      <w:r w:rsidRPr="001906E8">
        <w:rPr>
          <w:sz w:val="14"/>
          <w:szCs w:val="14"/>
        </w:rPr>
        <w:br/>
        <w:t>Corporate Secretary</w:t>
      </w:r>
      <w:r w:rsidRPr="001906E8">
        <w:rPr>
          <w:sz w:val="14"/>
          <w:szCs w:val="14"/>
        </w:rPr>
        <w:br/>
        <w:t>Barbara Muir</w:t>
      </w:r>
      <w:r w:rsidRPr="001906E8">
        <w:rPr>
          <w:sz w:val="14"/>
          <w:szCs w:val="14"/>
        </w:rPr>
        <w:br/>
      </w:r>
      <w:hyperlink r:id="rId26" w:history="1">
        <w:r w:rsidRPr="001906E8">
          <w:rPr>
            <w:color w:val="0000FF"/>
            <w:sz w:val="14"/>
            <w:u w:val="single"/>
          </w:rPr>
          <w:t>corp.secretary@bmo.com</w:t>
        </w:r>
      </w:hyperlink>
      <w:r w:rsidRPr="001906E8">
        <w:rPr>
          <w:sz w:val="14"/>
          <w:szCs w:val="14"/>
        </w:rPr>
        <w:br/>
      </w:r>
      <w:r w:rsidRPr="001906E8">
        <w:rPr>
          <w:sz w:val="14"/>
        </w:rPr>
        <w:t>416-867-6423</w:t>
      </w:r>
      <w:r w:rsidRPr="001906E8">
        <w:rPr>
          <w:sz w:val="14"/>
          <w:szCs w:val="14"/>
        </w:rPr>
        <w:br/>
      </w:r>
      <w:r w:rsidRPr="001906E8">
        <w:rPr>
          <w:sz w:val="14"/>
          <w:szCs w:val="14"/>
        </w:rPr>
        <w:br/>
      </w:r>
    </w:p>
    <w:p w:rsidR="00783E96" w:rsidRDefault="00783E96"/>
    <w:sectPr w:rsidR="00783E96" w:rsidSect="00783E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19C42748"/>
    <w:multiLevelType w:val="multilevel"/>
    <w:tmpl w:val="427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6E8"/>
    <w:rsid w:val="001906E8"/>
    <w:rsid w:val="00222E39"/>
    <w:rsid w:val="00313963"/>
    <w:rsid w:val="003E7A2B"/>
    <w:rsid w:val="006E5FC7"/>
    <w:rsid w:val="00783E96"/>
    <w:rsid w:val="008D4B1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E96"/>
  </w:style>
  <w:style w:type="paragraph" w:styleId="1">
    <w:name w:val="heading 1"/>
    <w:basedOn w:val="a"/>
    <w:link w:val="1Char"/>
    <w:uiPriority w:val="9"/>
    <w:qFormat/>
    <w:rsid w:val="001906E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Char"/>
    <w:uiPriority w:val="9"/>
    <w:qFormat/>
    <w:rsid w:val="001906E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1906E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906E8"/>
    <w:rPr>
      <w:rFonts w:ascii="Times New Roman" w:eastAsia="Times New Roman" w:hAnsi="Times New Roman" w:cs="Times New Roman"/>
      <w:b/>
      <w:bCs/>
      <w:kern w:val="36"/>
      <w:sz w:val="48"/>
      <w:szCs w:val="48"/>
    </w:rPr>
  </w:style>
  <w:style w:type="character" w:customStyle="1" w:styleId="2Char">
    <w:name w:val="제목 2 Char"/>
    <w:basedOn w:val="a0"/>
    <w:link w:val="2"/>
    <w:uiPriority w:val="9"/>
    <w:rsid w:val="001906E8"/>
    <w:rPr>
      <w:rFonts w:ascii="Times New Roman" w:eastAsia="Times New Roman" w:hAnsi="Times New Roman" w:cs="Times New Roman"/>
      <w:b/>
      <w:bCs/>
      <w:sz w:val="36"/>
      <w:szCs w:val="36"/>
    </w:rPr>
  </w:style>
  <w:style w:type="character" w:customStyle="1" w:styleId="3Char">
    <w:name w:val="제목 3 Char"/>
    <w:basedOn w:val="a0"/>
    <w:link w:val="3"/>
    <w:uiPriority w:val="9"/>
    <w:rsid w:val="001906E8"/>
    <w:rPr>
      <w:rFonts w:ascii="Times New Roman" w:eastAsia="Times New Roman" w:hAnsi="Times New Roman" w:cs="Times New Roman"/>
      <w:b/>
      <w:bCs/>
      <w:sz w:val="27"/>
      <w:szCs w:val="27"/>
    </w:rPr>
  </w:style>
  <w:style w:type="character" w:styleId="a3">
    <w:name w:val="Hyperlink"/>
    <w:basedOn w:val="a0"/>
    <w:uiPriority w:val="99"/>
    <w:semiHidden/>
    <w:unhideWhenUsed/>
    <w:rsid w:val="001906E8"/>
    <w:rPr>
      <w:color w:val="0000FF"/>
      <w:u w:val="single"/>
    </w:rPr>
  </w:style>
  <w:style w:type="character" w:styleId="a4">
    <w:name w:val="FollowedHyperlink"/>
    <w:basedOn w:val="a0"/>
    <w:uiPriority w:val="99"/>
    <w:semiHidden/>
    <w:unhideWhenUsed/>
    <w:rsid w:val="001906E8"/>
    <w:rPr>
      <w:color w:val="800080"/>
      <w:u w:val="single"/>
    </w:rPr>
  </w:style>
  <w:style w:type="character" w:styleId="a5">
    <w:name w:val="Emphasis"/>
    <w:basedOn w:val="a0"/>
    <w:uiPriority w:val="20"/>
    <w:qFormat/>
    <w:rsid w:val="001906E8"/>
    <w:rPr>
      <w:i/>
      <w:iCs/>
    </w:rPr>
  </w:style>
  <w:style w:type="paragraph" w:styleId="HTML">
    <w:name w:val="HTML Preformatted"/>
    <w:basedOn w:val="a"/>
    <w:link w:val="HTMLChar"/>
    <w:uiPriority w:val="99"/>
    <w:semiHidden/>
    <w:unhideWhenUsed/>
    <w:rsid w:val="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1906E8"/>
    <w:rPr>
      <w:rFonts w:ascii="Courier New" w:eastAsia="Times New Roman" w:hAnsi="Courier New" w:cs="Courier New"/>
      <w:sz w:val="20"/>
      <w:szCs w:val="20"/>
    </w:rPr>
  </w:style>
  <w:style w:type="character" w:styleId="a6">
    <w:name w:val="Strong"/>
    <w:basedOn w:val="a0"/>
    <w:uiPriority w:val="22"/>
    <w:qFormat/>
    <w:rsid w:val="001906E8"/>
    <w:rPr>
      <w:b/>
      <w:bCs/>
    </w:rPr>
  </w:style>
  <w:style w:type="paragraph" w:styleId="a7">
    <w:name w:val="Normal (Web)"/>
    <w:basedOn w:val="a"/>
    <w:uiPriority w:val="99"/>
    <w:semiHidden/>
    <w:unhideWhenUsed/>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
    <w:name w:val="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sorry">
    <w:name w:val="sorry"/>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lear">
    <w:name w:val="clea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0">
    <w:name w:val="w-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
    <w:name w:val="w-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0">
    <w:name w:val="w-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5">
    <w:name w:val="w-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0">
    <w:name w:val="w-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5">
    <w:name w:val="w-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0">
    <w:name w:val="w-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5">
    <w:name w:val="w-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0">
    <w:name w:val="w-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5">
    <w:name w:val="w-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0">
    <w:name w:val="w-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5">
    <w:name w:val="w-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0">
    <w:name w:val="w-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5">
    <w:name w:val="w-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0">
    <w:name w:val="w-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5">
    <w:name w:val="w-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0">
    <w:name w:val="w-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5">
    <w:name w:val="w-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0">
    <w:name w:val="w-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5">
    <w:name w:val="w-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00">
    <w:name w:val="w-1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05">
    <w:name w:val="w-1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10">
    <w:name w:val="w-1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15">
    <w:name w:val="w-1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20">
    <w:name w:val="w-1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25">
    <w:name w:val="w-1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30">
    <w:name w:val="w-1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35">
    <w:name w:val="w-1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40">
    <w:name w:val="w-1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45">
    <w:name w:val="w-1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50">
    <w:name w:val="w-1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55">
    <w:name w:val="w-1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60">
    <w:name w:val="w-1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65">
    <w:name w:val="w-1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70">
    <w:name w:val="w-1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75">
    <w:name w:val="w-1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80">
    <w:name w:val="w-1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85">
    <w:name w:val="w-1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90">
    <w:name w:val="w-1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95">
    <w:name w:val="w-1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00">
    <w:name w:val="w-2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05">
    <w:name w:val="w-2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10">
    <w:name w:val="w-2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15">
    <w:name w:val="w-2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20">
    <w:name w:val="w-2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25">
    <w:name w:val="w-2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30">
    <w:name w:val="w-2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35">
    <w:name w:val="w-2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40">
    <w:name w:val="w-2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45">
    <w:name w:val="w-2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50">
    <w:name w:val="w-2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55">
    <w:name w:val="w-2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60">
    <w:name w:val="w-2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65">
    <w:name w:val="w-2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70">
    <w:name w:val="w-2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75">
    <w:name w:val="w-2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80">
    <w:name w:val="w-2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85">
    <w:name w:val="w-2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90">
    <w:name w:val="w-2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95">
    <w:name w:val="w-2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00">
    <w:name w:val="w-3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05">
    <w:name w:val="w-3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10">
    <w:name w:val="w-3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15">
    <w:name w:val="w-3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20">
    <w:name w:val="w-3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25">
    <w:name w:val="w-3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30">
    <w:name w:val="w-3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35">
    <w:name w:val="w-3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40">
    <w:name w:val="w-3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45">
    <w:name w:val="w-3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50">
    <w:name w:val="w-3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55">
    <w:name w:val="w-3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60">
    <w:name w:val="w-3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65">
    <w:name w:val="w-3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70">
    <w:name w:val="w-3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75">
    <w:name w:val="w-3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80">
    <w:name w:val="w-3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85">
    <w:name w:val="w-3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90">
    <w:name w:val="w-3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95">
    <w:name w:val="w-3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00">
    <w:name w:val="w-4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05">
    <w:name w:val="w-4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10">
    <w:name w:val="w-4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15">
    <w:name w:val="w-4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20">
    <w:name w:val="w-4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25">
    <w:name w:val="w-4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30">
    <w:name w:val="w-4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35">
    <w:name w:val="w-4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40">
    <w:name w:val="w-4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45">
    <w:name w:val="w-4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50">
    <w:name w:val="w-4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55">
    <w:name w:val="w-4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60">
    <w:name w:val="w-4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65">
    <w:name w:val="w-4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70">
    <w:name w:val="w-4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75">
    <w:name w:val="w-4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80">
    <w:name w:val="w-4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85">
    <w:name w:val="w-4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90">
    <w:name w:val="w-4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95">
    <w:name w:val="w-4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00">
    <w:name w:val="w-5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05">
    <w:name w:val="w-5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10">
    <w:name w:val="w-5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15">
    <w:name w:val="w-5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20">
    <w:name w:val="w-5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25">
    <w:name w:val="w-5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30">
    <w:name w:val="w-5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35">
    <w:name w:val="w-5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40">
    <w:name w:val="w-5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45">
    <w:name w:val="w-5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50">
    <w:name w:val="w-5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55">
    <w:name w:val="w-5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60">
    <w:name w:val="w-5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65">
    <w:name w:val="w-5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70">
    <w:name w:val="w-5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75">
    <w:name w:val="w-5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80">
    <w:name w:val="w-5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85">
    <w:name w:val="w-5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90">
    <w:name w:val="w-5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95">
    <w:name w:val="w-5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00">
    <w:name w:val="w-6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05">
    <w:name w:val="w-6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10">
    <w:name w:val="w-6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15">
    <w:name w:val="w-6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20">
    <w:name w:val="w-6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25">
    <w:name w:val="w-6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30">
    <w:name w:val="w-6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35">
    <w:name w:val="w-6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40">
    <w:name w:val="w-6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45">
    <w:name w:val="w-6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50">
    <w:name w:val="w-6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55">
    <w:name w:val="w-6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60">
    <w:name w:val="w-6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65">
    <w:name w:val="w-6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70">
    <w:name w:val="w-6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75">
    <w:name w:val="w-6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80">
    <w:name w:val="w-6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85">
    <w:name w:val="w-6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90">
    <w:name w:val="w-6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95">
    <w:name w:val="w-6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00">
    <w:name w:val="w-7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05">
    <w:name w:val="w-7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10">
    <w:name w:val="w-7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15">
    <w:name w:val="w-7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20">
    <w:name w:val="w-7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25">
    <w:name w:val="w-7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30">
    <w:name w:val="w-7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35">
    <w:name w:val="w-7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40">
    <w:name w:val="w-7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45">
    <w:name w:val="w-7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50">
    <w:name w:val="w-7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55">
    <w:name w:val="w-7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60">
    <w:name w:val="w-7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65">
    <w:name w:val="w-7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70">
    <w:name w:val="w-7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75">
    <w:name w:val="w-7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80">
    <w:name w:val="w-7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85">
    <w:name w:val="w-7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90">
    <w:name w:val="w-7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95">
    <w:name w:val="w-7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00">
    <w:name w:val="w-8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05">
    <w:name w:val="w-8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10">
    <w:name w:val="w-8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15">
    <w:name w:val="w-8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20">
    <w:name w:val="w-8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25">
    <w:name w:val="w-8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30">
    <w:name w:val="w-8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35">
    <w:name w:val="w-8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40">
    <w:name w:val="w-8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45">
    <w:name w:val="w-8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50">
    <w:name w:val="w-8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55">
    <w:name w:val="w-8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60">
    <w:name w:val="w-8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65">
    <w:name w:val="w-8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70">
    <w:name w:val="w-8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75">
    <w:name w:val="w-8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80">
    <w:name w:val="w-8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85">
    <w:name w:val="w-8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90">
    <w:name w:val="w-8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95">
    <w:name w:val="w-8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00">
    <w:name w:val="w-9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05">
    <w:name w:val="w-9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10">
    <w:name w:val="w-9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15">
    <w:name w:val="w-9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20">
    <w:name w:val="w-9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25">
    <w:name w:val="w-9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30">
    <w:name w:val="w-9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35">
    <w:name w:val="w-9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40">
    <w:name w:val="w-9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45">
    <w:name w:val="w-9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50">
    <w:name w:val="w-9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lign-center">
    <w:name w:val="align-center"/>
    <w:basedOn w:val="a"/>
    <w:rsid w:val="001906E8"/>
    <w:pPr>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b">
    <w:name w:val="b"/>
    <w:basedOn w:val="a"/>
    <w:rsid w:val="001906E8"/>
    <w:pPr>
      <w:spacing w:before="100" w:beforeAutospacing="1" w:after="100" w:afterAutospacing="1" w:line="240" w:lineRule="auto"/>
    </w:pPr>
    <w:rPr>
      <w:rFonts w:ascii="Times New Roman" w:eastAsia="Times New Roman" w:hAnsi="Times New Roman" w:cs="Times New Roman"/>
      <w:b/>
      <w:bCs/>
      <w:sz w:val="12"/>
      <w:szCs w:val="12"/>
    </w:rPr>
  </w:style>
  <w:style w:type="paragraph" w:customStyle="1" w:styleId="align-right">
    <w:name w:val="align-right"/>
    <w:basedOn w:val="a"/>
    <w:rsid w:val="001906E8"/>
    <w:pPr>
      <w:spacing w:before="100" w:beforeAutospacing="1" w:after="100" w:afterAutospacing="1" w:line="240" w:lineRule="auto"/>
      <w:jc w:val="right"/>
    </w:pPr>
    <w:rPr>
      <w:rFonts w:ascii="Times New Roman" w:eastAsia="Times New Roman" w:hAnsi="Times New Roman" w:cs="Times New Roman"/>
      <w:sz w:val="12"/>
      <w:szCs w:val="12"/>
    </w:rPr>
  </w:style>
  <w:style w:type="paragraph" w:customStyle="1" w:styleId="red">
    <w:name w:val="red"/>
    <w:basedOn w:val="a"/>
    <w:rsid w:val="001906E8"/>
    <w:pPr>
      <w:spacing w:before="100" w:beforeAutospacing="1" w:after="100" w:afterAutospacing="1" w:line="240" w:lineRule="auto"/>
    </w:pPr>
    <w:rPr>
      <w:rFonts w:ascii="Times New Roman" w:eastAsia="Times New Roman" w:hAnsi="Times New Roman" w:cs="Times New Roman"/>
      <w:color w:val="AA1E1E"/>
      <w:sz w:val="12"/>
      <w:szCs w:val="12"/>
    </w:rPr>
  </w:style>
  <w:style w:type="paragraph" w:customStyle="1" w:styleId="fs-10">
    <w:name w:val="fs-10"/>
    <w:basedOn w:val="a"/>
    <w:rsid w:val="001906E8"/>
    <w:pPr>
      <w:spacing w:before="100" w:beforeAutospacing="1" w:after="100" w:afterAutospacing="1" w:line="240" w:lineRule="auto"/>
    </w:pPr>
    <w:rPr>
      <w:rFonts w:ascii="Times New Roman" w:eastAsia="Times New Roman" w:hAnsi="Times New Roman" w:cs="Times New Roman"/>
      <w:sz w:val="10"/>
      <w:szCs w:val="10"/>
    </w:rPr>
  </w:style>
  <w:style w:type="paragraph" w:customStyle="1" w:styleId="fs-12">
    <w:name w:val="fs-1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fs-16">
    <w:name w:val="fs-16"/>
    <w:basedOn w:val="a"/>
    <w:rsid w:val="001906E8"/>
    <w:pP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lh-18">
    <w:name w:val="lh-18"/>
    <w:basedOn w:val="a"/>
    <w:rsid w:val="001906E8"/>
    <w:pPr>
      <w:spacing w:before="100" w:beforeAutospacing="1" w:after="100" w:afterAutospacing="1" w:line="180" w:lineRule="atLeast"/>
    </w:pPr>
    <w:rPr>
      <w:rFonts w:ascii="Times New Roman" w:eastAsia="Times New Roman" w:hAnsi="Times New Roman" w:cs="Times New Roman"/>
      <w:sz w:val="12"/>
      <w:szCs w:val="12"/>
    </w:rPr>
  </w:style>
  <w:style w:type="paragraph" w:customStyle="1" w:styleId="lh-25">
    <w:name w:val="lh-25"/>
    <w:basedOn w:val="a"/>
    <w:rsid w:val="001906E8"/>
    <w:pPr>
      <w:spacing w:before="100" w:beforeAutospacing="1" w:after="100" w:afterAutospacing="1" w:line="250" w:lineRule="atLeast"/>
    </w:pPr>
    <w:rPr>
      <w:rFonts w:ascii="Times New Roman" w:eastAsia="Times New Roman" w:hAnsi="Times New Roman" w:cs="Times New Roman"/>
      <w:sz w:val="12"/>
      <w:szCs w:val="12"/>
    </w:rPr>
  </w:style>
  <w:style w:type="paragraph" w:customStyle="1" w:styleId="lh-20">
    <w:name w:val="lh-20"/>
    <w:basedOn w:val="a"/>
    <w:rsid w:val="001906E8"/>
    <w:pPr>
      <w:spacing w:before="100" w:beforeAutospacing="1" w:after="100" w:afterAutospacing="1" w:line="200" w:lineRule="atLeast"/>
    </w:pPr>
    <w:rPr>
      <w:rFonts w:ascii="Times New Roman" w:eastAsia="Times New Roman" w:hAnsi="Times New Roman" w:cs="Times New Roman"/>
      <w:sz w:val="12"/>
      <w:szCs w:val="12"/>
    </w:rPr>
  </w:style>
  <w:style w:type="paragraph" w:customStyle="1" w:styleId="lh-30">
    <w:name w:val="lh-30"/>
    <w:basedOn w:val="a"/>
    <w:rsid w:val="001906E8"/>
    <w:pPr>
      <w:spacing w:before="100" w:beforeAutospacing="1" w:after="100" w:afterAutospacing="1" w:line="300" w:lineRule="atLeast"/>
    </w:pPr>
    <w:rPr>
      <w:rFonts w:ascii="Times New Roman" w:eastAsia="Times New Roman" w:hAnsi="Times New Roman" w:cs="Times New Roman"/>
      <w:sz w:val="12"/>
      <w:szCs w:val="12"/>
    </w:rPr>
  </w:style>
  <w:style w:type="paragraph" w:customStyle="1" w:styleId="i">
    <w:name w:val="i"/>
    <w:basedOn w:val="a"/>
    <w:rsid w:val="001906E8"/>
    <w:pPr>
      <w:spacing w:before="100" w:beforeAutospacing="1" w:after="100" w:afterAutospacing="1" w:line="240" w:lineRule="auto"/>
    </w:pPr>
    <w:rPr>
      <w:rFonts w:ascii="Times New Roman" w:eastAsia="Times New Roman" w:hAnsi="Times New Roman" w:cs="Times New Roman"/>
      <w:i/>
      <w:iCs/>
      <w:sz w:val="12"/>
      <w:szCs w:val="12"/>
    </w:rPr>
  </w:style>
  <w:style w:type="paragraph" w:customStyle="1" w:styleId="c-455167">
    <w:name w:val="c-455167"/>
    <w:basedOn w:val="a"/>
    <w:rsid w:val="001906E8"/>
    <w:pPr>
      <w:spacing w:before="100" w:beforeAutospacing="1" w:after="100" w:afterAutospacing="1" w:line="240" w:lineRule="auto"/>
    </w:pPr>
    <w:rPr>
      <w:rFonts w:ascii="Times New Roman" w:eastAsia="Times New Roman" w:hAnsi="Times New Roman" w:cs="Times New Roman"/>
      <w:color w:val="455167"/>
      <w:sz w:val="12"/>
      <w:szCs w:val="12"/>
    </w:rPr>
  </w:style>
  <w:style w:type="paragraph" w:customStyle="1" w:styleId="10">
    <w:name w:val="제목1"/>
    <w:basedOn w:val="a"/>
    <w:rsid w:val="001906E8"/>
    <w:pPr>
      <w:spacing w:before="100" w:beforeAutospacing="1" w:after="100" w:afterAutospacing="1" w:line="240" w:lineRule="auto"/>
    </w:pPr>
    <w:rPr>
      <w:rFonts w:ascii="Times New Roman" w:eastAsia="Times New Roman" w:hAnsi="Times New Roman" w:cs="Times New Roman"/>
      <w:b/>
      <w:bCs/>
      <w:sz w:val="14"/>
      <w:szCs w:val="14"/>
    </w:rPr>
  </w:style>
  <w:style w:type="paragraph" w:customStyle="1" w:styleId="req">
    <w:name w:val="req"/>
    <w:basedOn w:val="a"/>
    <w:rsid w:val="001906E8"/>
    <w:pPr>
      <w:spacing w:before="100" w:beforeAutospacing="1" w:after="100" w:afterAutospacing="1" w:line="240" w:lineRule="auto"/>
    </w:pPr>
    <w:rPr>
      <w:rFonts w:ascii="Times New Roman" w:eastAsia="Times New Roman" w:hAnsi="Times New Roman" w:cs="Times New Roman"/>
      <w:color w:val="FF0000"/>
      <w:sz w:val="12"/>
      <w:szCs w:val="12"/>
    </w:rPr>
  </w:style>
  <w:style w:type="paragraph" w:customStyle="1" w:styleId="pt-10">
    <w:name w:val="pt-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l-10">
    <w:name w:val="pl-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l-30">
    <w:name w:val="pl-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b-10">
    <w:name w:val="pb-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20">
    <w:name w:val="p-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15">
    <w:name w:val="p-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t-30">
    <w:name w:val="pt-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10">
    <w:name w:val="p-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20">
    <w:name w:val="pr-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bl-5">
    <w:name w:val="pbl-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5">
    <w:name w:val="p-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0">
    <w:name w:val="h-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
    <w:name w:val="h-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0">
    <w:name w:val="h-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5">
    <w:name w:val="h-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0">
    <w:name w:val="h-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5">
    <w:name w:val="h-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0">
    <w:name w:val="h-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5">
    <w:name w:val="h-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0">
    <w:name w:val="h-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5">
    <w:name w:val="h-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0">
    <w:name w:val="h-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5">
    <w:name w:val="h-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0">
    <w:name w:val="h-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5">
    <w:name w:val="h-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0">
    <w:name w:val="h-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5">
    <w:name w:val="h-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0">
    <w:name w:val="h-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5">
    <w:name w:val="h-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0">
    <w:name w:val="h-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5">
    <w:name w:val="h-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00">
    <w:name w:val="h-1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05">
    <w:name w:val="h-1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10">
    <w:name w:val="h-1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15">
    <w:name w:val="h-1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20">
    <w:name w:val="h-1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25">
    <w:name w:val="h-1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30">
    <w:name w:val="h-1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35">
    <w:name w:val="h-1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40">
    <w:name w:val="h-1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45">
    <w:name w:val="h-1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50">
    <w:name w:val="h-1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55">
    <w:name w:val="h-1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60">
    <w:name w:val="h-1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65">
    <w:name w:val="h-1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70">
    <w:name w:val="h-1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75">
    <w:name w:val="h-1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80">
    <w:name w:val="h-1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85">
    <w:name w:val="h-1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90">
    <w:name w:val="h-1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95">
    <w:name w:val="h-1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00">
    <w:name w:val="h-2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05">
    <w:name w:val="h-2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10">
    <w:name w:val="h-2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15">
    <w:name w:val="h-2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20">
    <w:name w:val="h-2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25">
    <w:name w:val="h-2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30">
    <w:name w:val="h-2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35">
    <w:name w:val="h-2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40">
    <w:name w:val="h-2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45">
    <w:name w:val="h-2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50">
    <w:name w:val="h-2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55">
    <w:name w:val="h-2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60">
    <w:name w:val="h-2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65">
    <w:name w:val="h-2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70">
    <w:name w:val="h-2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75">
    <w:name w:val="h-2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80">
    <w:name w:val="h-2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85">
    <w:name w:val="h-2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90">
    <w:name w:val="h-2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95">
    <w:name w:val="h-2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00">
    <w:name w:val="h-3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05">
    <w:name w:val="h-3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10">
    <w:name w:val="h-3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15">
    <w:name w:val="h-3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20">
    <w:name w:val="h-3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25">
    <w:name w:val="h-3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30">
    <w:name w:val="h-3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35">
    <w:name w:val="h-3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40">
    <w:name w:val="h-3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45">
    <w:name w:val="h-3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50">
    <w:name w:val="h-3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55">
    <w:name w:val="h-3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60">
    <w:name w:val="h-3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65">
    <w:name w:val="h-3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70">
    <w:name w:val="h-3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75">
    <w:name w:val="h-3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80">
    <w:name w:val="h-3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85">
    <w:name w:val="h-3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90">
    <w:name w:val="h-3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95">
    <w:name w:val="h-3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00">
    <w:name w:val="h-4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05">
    <w:name w:val="h-4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10">
    <w:name w:val="h-4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15">
    <w:name w:val="h-4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20">
    <w:name w:val="h-4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25">
    <w:name w:val="h-4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30">
    <w:name w:val="h-4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35">
    <w:name w:val="h-4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40">
    <w:name w:val="h-4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45">
    <w:name w:val="h-4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50">
    <w:name w:val="h-4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55">
    <w:name w:val="h-4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60">
    <w:name w:val="h-4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65">
    <w:name w:val="h-4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70">
    <w:name w:val="h-4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75">
    <w:name w:val="h-4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80">
    <w:name w:val="h-4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85">
    <w:name w:val="h-4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90">
    <w:name w:val="h-4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95">
    <w:name w:val="h-4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00">
    <w:name w:val="h-5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05">
    <w:name w:val="h-5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10">
    <w:name w:val="h-5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15">
    <w:name w:val="h-5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20">
    <w:name w:val="h-5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25">
    <w:name w:val="h-5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30">
    <w:name w:val="h-5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35">
    <w:name w:val="h-5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40">
    <w:name w:val="h-5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45">
    <w:name w:val="h-5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50">
    <w:name w:val="h-5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55">
    <w:name w:val="h-5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60">
    <w:name w:val="h-5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65">
    <w:name w:val="h-5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70">
    <w:name w:val="h-5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75">
    <w:name w:val="h-5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80">
    <w:name w:val="h-5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85">
    <w:name w:val="h-5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90">
    <w:name w:val="h-5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95">
    <w:name w:val="h-5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00">
    <w:name w:val="h-6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05">
    <w:name w:val="h-6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10">
    <w:name w:val="h-6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15">
    <w:name w:val="h-6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20">
    <w:name w:val="h-6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25">
    <w:name w:val="h-6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30">
    <w:name w:val="h-6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35">
    <w:name w:val="h-6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40">
    <w:name w:val="h-6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45">
    <w:name w:val="h-6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50">
    <w:name w:val="h-6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55">
    <w:name w:val="h-6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60">
    <w:name w:val="h-6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65">
    <w:name w:val="h-6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70">
    <w:name w:val="h-6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75">
    <w:name w:val="h-6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80">
    <w:name w:val="h-6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85">
    <w:name w:val="h-6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90">
    <w:name w:val="h-6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95">
    <w:name w:val="h-6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00">
    <w:name w:val="h-7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05">
    <w:name w:val="h-7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10">
    <w:name w:val="h-7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15">
    <w:name w:val="h-7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20">
    <w:name w:val="h-7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25">
    <w:name w:val="h-7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30">
    <w:name w:val="h-7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35">
    <w:name w:val="h-7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40">
    <w:name w:val="h-7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45">
    <w:name w:val="h-7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50">
    <w:name w:val="h-7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55">
    <w:name w:val="h-7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60">
    <w:name w:val="h-7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65">
    <w:name w:val="h-7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70">
    <w:name w:val="h-7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75">
    <w:name w:val="h-7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80">
    <w:name w:val="h-7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85">
    <w:name w:val="h-7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90">
    <w:name w:val="h-7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95">
    <w:name w:val="h-7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00">
    <w:name w:val="h-8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05">
    <w:name w:val="h-8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10">
    <w:name w:val="h-8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15">
    <w:name w:val="h-8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20">
    <w:name w:val="h-8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25">
    <w:name w:val="h-8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30">
    <w:name w:val="h-8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35">
    <w:name w:val="h-8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40">
    <w:name w:val="h-8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45">
    <w:name w:val="h-8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50">
    <w:name w:val="h-8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55">
    <w:name w:val="h-8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60">
    <w:name w:val="h-8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65">
    <w:name w:val="h-8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70">
    <w:name w:val="h-8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75">
    <w:name w:val="h-8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80">
    <w:name w:val="h-8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85">
    <w:name w:val="h-8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90">
    <w:name w:val="h-8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95">
    <w:name w:val="h-8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00">
    <w:name w:val="h-9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05">
    <w:name w:val="h-9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10">
    <w:name w:val="h-9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15">
    <w:name w:val="h-9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20">
    <w:name w:val="h-9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25">
    <w:name w:val="h-9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30">
    <w:name w:val="h-9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35">
    <w:name w:val="h-9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40">
    <w:name w:val="h-9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45">
    <w:name w:val="h-9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50">
    <w:name w:val="h-9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050">
    <w:name w:val="h-10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fancybox-bg">
    <w:name w:val="fancybox-bg"/>
    <w:basedOn w:val="a"/>
    <w:rsid w:val="001906E8"/>
    <w:pPr>
      <w:spacing w:after="0" w:line="240" w:lineRule="auto"/>
    </w:pPr>
    <w:rPr>
      <w:rFonts w:ascii="Times New Roman" w:eastAsia="Times New Roman" w:hAnsi="Times New Roman" w:cs="Times New Roman"/>
      <w:sz w:val="12"/>
      <w:szCs w:val="12"/>
    </w:rPr>
  </w:style>
  <w:style w:type="paragraph" w:customStyle="1" w:styleId="fancybox-title-inside">
    <w:name w:val="fancybox-title-inside"/>
    <w:basedOn w:val="a"/>
    <w:rsid w:val="001906E8"/>
    <w:pPr>
      <w:shd w:val="clear" w:color="auto" w:fill="FFFFFF"/>
      <w:spacing w:before="100" w:beforeAutospacing="1" w:after="100" w:afterAutospacing="1" w:line="240" w:lineRule="auto"/>
      <w:jc w:val="center"/>
    </w:pPr>
    <w:rPr>
      <w:rFonts w:ascii="Times New Roman" w:eastAsia="Times New Roman" w:hAnsi="Times New Roman" w:cs="Times New Roman"/>
      <w:color w:val="333333"/>
      <w:sz w:val="12"/>
      <w:szCs w:val="12"/>
    </w:rPr>
  </w:style>
  <w:style w:type="paragraph" w:customStyle="1" w:styleId="fancybox-title-outside">
    <w:name w:val="fancybox-title-outside"/>
    <w:basedOn w:val="a"/>
    <w:rsid w:val="001906E8"/>
    <w:pPr>
      <w:spacing w:before="100" w:beforeAutospacing="1" w:after="100" w:afterAutospacing="1" w:line="240" w:lineRule="auto"/>
    </w:pPr>
    <w:rPr>
      <w:rFonts w:ascii="Times New Roman" w:eastAsia="Times New Roman" w:hAnsi="Times New Roman" w:cs="Times New Roman"/>
      <w:color w:val="FFFFFF"/>
      <w:sz w:val="12"/>
      <w:szCs w:val="12"/>
    </w:rPr>
  </w:style>
  <w:style w:type="paragraph" w:customStyle="1" w:styleId="fancybox-title-over">
    <w:name w:val="fancybox-title-over"/>
    <w:basedOn w:val="a"/>
    <w:rsid w:val="001906E8"/>
    <w:pPr>
      <w:spacing w:before="100" w:beforeAutospacing="1" w:after="100" w:afterAutospacing="1" w:line="240" w:lineRule="auto"/>
    </w:pPr>
    <w:rPr>
      <w:rFonts w:ascii="Times New Roman" w:eastAsia="Times New Roman" w:hAnsi="Times New Roman" w:cs="Times New Roman"/>
      <w:color w:val="FFFFFF"/>
      <w:sz w:val="12"/>
      <w:szCs w:val="12"/>
    </w:rPr>
  </w:style>
  <w:style w:type="paragraph" w:customStyle="1" w:styleId="fancybox-title-float">
    <w:name w:val="fancybox-title-floa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dotted-section">
    <w:name w:val="dotted-section"/>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see-all">
    <w:name w:val="see-all"/>
    <w:basedOn w:val="a"/>
    <w:rsid w:val="001906E8"/>
    <w:pPr>
      <w:pBdr>
        <w:bottom w:val="single" w:sz="4" w:space="5" w:color="FFFFFF"/>
      </w:pBdr>
      <w:spacing w:before="100" w:after="100" w:line="240" w:lineRule="auto"/>
      <w:ind w:left="50" w:right="100"/>
    </w:pPr>
    <w:rPr>
      <w:rFonts w:ascii="Times New Roman" w:eastAsia="Times New Roman" w:hAnsi="Times New Roman" w:cs="Times New Roman"/>
      <w:sz w:val="12"/>
      <w:szCs w:val="12"/>
    </w:rPr>
  </w:style>
  <w:style w:type="paragraph" w:customStyle="1" w:styleId="hide">
    <w:name w:val="hide"/>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loginhover">
    <w:name w:val="loginhover"/>
    <w:basedOn w:val="a"/>
    <w:rsid w:val="001906E8"/>
    <w:pPr>
      <w:shd w:val="clear" w:color="auto" w:fill="F2F2F2"/>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item">
    <w:name w:val="news-item"/>
    <w:basedOn w:val="a"/>
    <w:rsid w:val="001906E8"/>
    <w:pPr>
      <w:pBdr>
        <w:bottom w:val="single" w:sz="4" w:space="1" w:color="C1C1C1"/>
      </w:pBdr>
      <w:spacing w:before="100" w:beforeAutospacing="1" w:after="60" w:line="240" w:lineRule="auto"/>
    </w:pPr>
    <w:rPr>
      <w:rFonts w:ascii="Times New Roman" w:eastAsia="Times New Roman" w:hAnsi="Times New Roman" w:cs="Times New Roman"/>
      <w:sz w:val="12"/>
      <w:szCs w:val="12"/>
    </w:rPr>
  </w:style>
  <w:style w:type="paragraph" w:customStyle="1" w:styleId="news-item-news-room">
    <w:name w:val="news-item-news-room"/>
    <w:basedOn w:val="a"/>
    <w:rsid w:val="001906E8"/>
    <w:pPr>
      <w:pBdr>
        <w:bottom w:val="single" w:sz="4" w:space="3" w:color="CCCCCC"/>
      </w:pBd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sharing-icons">
    <w:name w:val="sharing-icon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thumb">
    <w:name w:val="news-thumb"/>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story">
    <w:name w:val="news-story"/>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story-news-room">
    <w:name w:val="news-story-news-room"/>
    <w:basedOn w:val="a"/>
    <w:rsid w:val="001906E8"/>
    <w:pPr>
      <w:spacing w:before="100" w:beforeAutospacing="1" w:after="100" w:afterAutospacing="1" w:line="264" w:lineRule="atLeast"/>
    </w:pPr>
    <w:rPr>
      <w:rFonts w:ascii="Times New Roman" w:eastAsia="Times New Roman" w:hAnsi="Times New Roman" w:cs="Times New Roman"/>
      <w:sz w:val="24"/>
      <w:szCs w:val="24"/>
    </w:rPr>
  </w:style>
  <w:style w:type="paragraph" w:customStyle="1" w:styleId="news-buttons">
    <w:name w:val="news-buttons"/>
    <w:basedOn w:val="a"/>
    <w:rsid w:val="001906E8"/>
    <w:pPr>
      <w:spacing w:before="100" w:beforeAutospacing="1" w:after="100" w:afterAutospacing="1" w:line="240" w:lineRule="auto"/>
      <w:ind w:left="50"/>
    </w:pPr>
    <w:rPr>
      <w:rFonts w:ascii="Times New Roman" w:eastAsia="Times New Roman" w:hAnsi="Times New Roman" w:cs="Times New Roman"/>
      <w:sz w:val="12"/>
      <w:szCs w:val="12"/>
    </w:rPr>
  </w:style>
  <w:style w:type="paragraph" w:customStyle="1" w:styleId="breadcrumb">
    <w:name w:val="breadcrumb"/>
    <w:basedOn w:val="a"/>
    <w:rsid w:val="001906E8"/>
    <w:pPr>
      <w:spacing w:after="110" w:line="240" w:lineRule="auto"/>
    </w:pPr>
    <w:rPr>
      <w:rFonts w:ascii="Times New Roman" w:eastAsia="Times New Roman" w:hAnsi="Times New Roman" w:cs="Times New Roman"/>
      <w:color w:val="808080"/>
      <w:sz w:val="11"/>
      <w:szCs w:val="11"/>
    </w:rPr>
  </w:style>
  <w:style w:type="paragraph" w:customStyle="1" w:styleId="large">
    <w:name w:val="large"/>
    <w:basedOn w:val="a"/>
    <w:rsid w:val="001906E8"/>
    <w:pPr>
      <w:spacing w:before="140" w:after="140" w:line="240" w:lineRule="auto"/>
    </w:pPr>
    <w:rPr>
      <w:rFonts w:ascii="Times New Roman" w:eastAsia="Times New Roman" w:hAnsi="Times New Roman" w:cs="Times New Roman"/>
      <w:color w:val="0071B0"/>
      <w:sz w:val="17"/>
      <w:szCs w:val="17"/>
    </w:rPr>
  </w:style>
  <w:style w:type="paragraph" w:customStyle="1" w:styleId="black-title">
    <w:name w:val="black-title"/>
    <w:basedOn w:val="a"/>
    <w:rsid w:val="001906E8"/>
    <w:pPr>
      <w:spacing w:before="100" w:beforeAutospacing="1" w:after="100" w:afterAutospacing="1" w:line="240" w:lineRule="auto"/>
    </w:pPr>
    <w:rPr>
      <w:rFonts w:ascii="Times New Roman" w:eastAsia="Times New Roman" w:hAnsi="Times New Roman" w:cs="Times New Roman"/>
      <w:b/>
      <w:bCs/>
      <w:sz w:val="14"/>
      <w:szCs w:val="14"/>
    </w:rPr>
  </w:style>
  <w:style w:type="paragraph" w:customStyle="1" w:styleId="title-date">
    <w:name w:val="title-date"/>
    <w:basedOn w:val="a"/>
    <w:rsid w:val="001906E8"/>
    <w:pPr>
      <w:spacing w:before="60" w:after="0" w:line="240" w:lineRule="auto"/>
    </w:pPr>
    <w:rPr>
      <w:rFonts w:ascii="Times New Roman" w:eastAsia="Times New Roman" w:hAnsi="Times New Roman" w:cs="Times New Roman"/>
      <w:sz w:val="12"/>
      <w:szCs w:val="12"/>
    </w:rPr>
  </w:style>
  <w:style w:type="paragraph" w:customStyle="1" w:styleId="news-see-all">
    <w:name w:val="news-see-all"/>
    <w:basedOn w:val="a"/>
    <w:rsid w:val="001906E8"/>
    <w:pPr>
      <w:pBdr>
        <w:bottom w:val="single" w:sz="4" w:space="4" w:color="FFFFFF"/>
      </w:pBdr>
      <w:spacing w:before="100" w:beforeAutospacing="1" w:after="100" w:afterAutospacing="1" w:line="240" w:lineRule="auto"/>
      <w:ind w:left="50"/>
    </w:pPr>
    <w:rPr>
      <w:rFonts w:ascii="Times New Roman" w:eastAsia="Times New Roman" w:hAnsi="Times New Roman" w:cs="Times New Roman"/>
      <w:sz w:val="12"/>
      <w:szCs w:val="12"/>
    </w:rPr>
  </w:style>
  <w:style w:type="paragraph" w:customStyle="1" w:styleId="search-it">
    <w:name w:val="search-it"/>
    <w:basedOn w:val="a"/>
    <w:rsid w:val="001906E8"/>
    <w:pPr>
      <w:spacing w:before="100" w:beforeAutospacing="1" w:after="60" w:line="240" w:lineRule="auto"/>
    </w:pPr>
    <w:rPr>
      <w:rFonts w:ascii="Times New Roman" w:eastAsia="Times New Roman" w:hAnsi="Times New Roman" w:cs="Times New Roman"/>
      <w:sz w:val="12"/>
      <w:szCs w:val="12"/>
    </w:rPr>
  </w:style>
  <w:style w:type="paragraph" w:customStyle="1" w:styleId="hidden">
    <w:name w:val="hidden"/>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unhidden">
    <w:name w:val="unhidden"/>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room-subsection">
    <w:name w:val="news-room-subsection"/>
    <w:basedOn w:val="a"/>
    <w:rsid w:val="001906E8"/>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room-subsection-selected">
    <w:name w:val="news-room-subsection-selected"/>
    <w:basedOn w:val="a"/>
    <w:rsid w:val="001906E8"/>
    <w:pPr>
      <w:shd w:val="clear" w:color="auto" w:fill="D9E8EF"/>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ub-industry">
    <w:name w:val="sub-industry"/>
    <w:basedOn w:val="a"/>
    <w:rsid w:val="001906E8"/>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gray">
    <w:name w:val="gray"/>
    <w:basedOn w:val="a"/>
    <w:rsid w:val="001906E8"/>
    <w:pPr>
      <w:spacing w:before="100" w:beforeAutospacing="1" w:after="100" w:afterAutospacing="1" w:line="240" w:lineRule="auto"/>
    </w:pPr>
    <w:rPr>
      <w:rFonts w:ascii="Times New Roman" w:eastAsia="Times New Roman" w:hAnsi="Times New Roman" w:cs="Times New Roman"/>
      <w:color w:val="808080"/>
      <w:sz w:val="12"/>
      <w:szCs w:val="12"/>
    </w:rPr>
  </w:style>
  <w:style w:type="paragraph" w:customStyle="1" w:styleId="white-bg">
    <w:name w:val="white-bg"/>
    <w:basedOn w:val="a"/>
    <w:rsid w:val="001906E8"/>
    <w:pPr>
      <w:shd w:val="clear" w:color="auto" w:fill="FFFFFF"/>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s-red">
    <w:name w:val="cs-red"/>
    <w:basedOn w:val="a"/>
    <w:rsid w:val="001906E8"/>
    <w:pPr>
      <w:spacing w:before="100" w:beforeAutospacing="1" w:after="100" w:afterAutospacing="1" w:line="240" w:lineRule="atLeast"/>
    </w:pPr>
    <w:rPr>
      <w:rFonts w:ascii="Times New Roman" w:eastAsia="Times New Roman" w:hAnsi="Times New Roman" w:cs="Times New Roman"/>
      <w:b/>
      <w:bCs/>
      <w:color w:val="B71E1E"/>
      <w:sz w:val="18"/>
      <w:szCs w:val="18"/>
    </w:rPr>
  </w:style>
  <w:style w:type="paragraph" w:customStyle="1" w:styleId="jb-col">
    <w:name w:val="jb-col"/>
    <w:basedOn w:val="a"/>
    <w:rsid w:val="001906E8"/>
    <w:pPr>
      <w:spacing w:before="160" w:after="0" w:line="240" w:lineRule="auto"/>
      <w:ind w:right="200"/>
    </w:pPr>
    <w:rPr>
      <w:rFonts w:ascii="Times New Roman" w:eastAsia="Times New Roman" w:hAnsi="Times New Roman" w:cs="Times New Roman"/>
      <w:sz w:val="12"/>
      <w:szCs w:val="12"/>
    </w:rPr>
  </w:style>
  <w:style w:type="paragraph" w:customStyle="1" w:styleId="share">
    <w:name w:val="shar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email">
    <w:name w:val="emai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inter">
    <w:name w:val="printe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df">
    <w:name w:val="pdf"/>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arge-title">
    <w:name w:val="large-title"/>
    <w:basedOn w:val="a"/>
    <w:rsid w:val="001906E8"/>
    <w:pPr>
      <w:spacing w:before="100" w:beforeAutospacing="1" w:after="100" w:afterAutospacing="1" w:line="240" w:lineRule="auto"/>
    </w:pPr>
    <w:rPr>
      <w:rFonts w:ascii="Times New Roman" w:eastAsia="Times New Roman" w:hAnsi="Times New Roman" w:cs="Times New Roman"/>
      <w:b/>
      <w:bCs/>
      <w:color w:val="0071B0"/>
      <w:sz w:val="17"/>
      <w:szCs w:val="17"/>
    </w:rPr>
  </w:style>
  <w:style w:type="paragraph" w:customStyle="1" w:styleId="formtitle">
    <w:name w:val="formtitle"/>
    <w:basedOn w:val="a"/>
    <w:rsid w:val="001906E8"/>
    <w:pPr>
      <w:pBdr>
        <w:top w:val="single" w:sz="4" w:space="0" w:color="CCCCCC"/>
      </w:pBdr>
      <w:spacing w:before="400" w:after="100" w:afterAutospacing="1" w:line="400" w:lineRule="atLeast"/>
    </w:pPr>
    <w:rPr>
      <w:rFonts w:ascii="Times New Roman" w:eastAsia="Times New Roman" w:hAnsi="Times New Roman" w:cs="Times New Roman"/>
      <w:color w:val="B21E1E"/>
      <w:sz w:val="12"/>
      <w:szCs w:val="12"/>
    </w:rPr>
  </w:style>
  <w:style w:type="paragraph" w:customStyle="1" w:styleId="map">
    <w:name w:val="ma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hite-papers">
    <w:name w:val="white-papers"/>
    <w:basedOn w:val="a"/>
    <w:rsid w:val="001906E8"/>
    <w:pPr>
      <w:pBdr>
        <w:top w:val="single" w:sz="4" w:space="3" w:color="CCCCCC"/>
      </w:pBdr>
      <w:spacing w:before="100" w:after="100" w:afterAutospacing="1" w:line="240" w:lineRule="auto"/>
    </w:pPr>
    <w:rPr>
      <w:rFonts w:ascii="Times New Roman" w:eastAsia="Times New Roman" w:hAnsi="Times New Roman" w:cs="Times New Roman"/>
      <w:sz w:val="12"/>
      <w:szCs w:val="12"/>
    </w:rPr>
  </w:style>
  <w:style w:type="paragraph" w:customStyle="1" w:styleId="events">
    <w:name w:val="events"/>
    <w:basedOn w:val="a"/>
    <w:rsid w:val="001906E8"/>
    <w:pPr>
      <w:pBdr>
        <w:top w:val="single" w:sz="4" w:space="3" w:color="CCCCCC"/>
        <w:bottom w:val="single" w:sz="4" w:space="3" w:color="CCCCCC"/>
      </w:pBdr>
      <w:spacing w:before="100" w:after="100" w:afterAutospacing="1" w:line="240" w:lineRule="auto"/>
    </w:pPr>
    <w:rPr>
      <w:rFonts w:ascii="Times New Roman" w:eastAsia="Times New Roman" w:hAnsi="Times New Roman" w:cs="Times New Roman"/>
      <w:sz w:val="12"/>
      <w:szCs w:val="12"/>
    </w:rPr>
  </w:style>
  <w:style w:type="paragraph" w:customStyle="1" w:styleId="blog">
    <w:name w:val="blog"/>
    <w:basedOn w:val="a"/>
    <w:rsid w:val="001906E8"/>
    <w:pPr>
      <w:pBdr>
        <w:top w:val="single" w:sz="4" w:space="3" w:color="CCCCCC"/>
      </w:pBdr>
      <w:spacing w:before="100" w:after="100" w:afterAutospacing="1" w:line="240" w:lineRule="auto"/>
    </w:pPr>
    <w:rPr>
      <w:rFonts w:ascii="Times New Roman" w:eastAsia="Times New Roman" w:hAnsi="Times New Roman" w:cs="Times New Roman"/>
      <w:sz w:val="12"/>
      <w:szCs w:val="12"/>
    </w:rPr>
  </w:style>
  <w:style w:type="paragraph" w:customStyle="1" w:styleId="mapattachment">
    <w:name w:val="mapattachment"/>
    <w:basedOn w:val="a"/>
    <w:rsid w:val="001906E8"/>
    <w:pPr>
      <w:spacing w:before="200" w:after="100" w:afterAutospacing="1" w:line="240" w:lineRule="auto"/>
    </w:pPr>
    <w:rPr>
      <w:rFonts w:ascii="Times New Roman" w:eastAsia="Times New Roman" w:hAnsi="Times New Roman" w:cs="Times New Roman"/>
      <w:sz w:val="12"/>
      <w:szCs w:val="12"/>
    </w:rPr>
  </w:style>
  <w:style w:type="paragraph" w:customStyle="1" w:styleId="news-source">
    <w:name w:val="news-source"/>
    <w:basedOn w:val="a"/>
    <w:rsid w:val="001906E8"/>
    <w:pPr>
      <w:spacing w:before="100" w:beforeAutospacing="1" w:after="100" w:afterAutospacing="1" w:line="400" w:lineRule="atLeast"/>
    </w:pPr>
    <w:rPr>
      <w:rFonts w:ascii="Times New Roman" w:eastAsia="Times New Roman" w:hAnsi="Times New Roman" w:cs="Times New Roman"/>
      <w:color w:val="333333"/>
      <w:sz w:val="12"/>
      <w:szCs w:val="12"/>
    </w:rPr>
  </w:style>
  <w:style w:type="paragraph" w:customStyle="1" w:styleId="usregions">
    <w:name w:val="usregion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apcontainer">
    <w:name w:val="mapcontainer"/>
    <w:basedOn w:val="a"/>
    <w:rsid w:val="001906E8"/>
    <w:pPr>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ml-10">
    <w:name w:val="ml-10"/>
    <w:basedOn w:val="a"/>
    <w:rsid w:val="001906E8"/>
    <w:pPr>
      <w:spacing w:before="100" w:beforeAutospacing="1" w:after="100" w:afterAutospacing="1" w:line="240" w:lineRule="auto"/>
      <w:ind w:left="100"/>
    </w:pPr>
    <w:rPr>
      <w:rFonts w:ascii="Times New Roman" w:eastAsia="Times New Roman" w:hAnsi="Times New Roman" w:cs="Times New Roman"/>
      <w:sz w:val="12"/>
      <w:szCs w:val="12"/>
    </w:rPr>
  </w:style>
  <w:style w:type="paragraph" w:customStyle="1" w:styleId="linetop">
    <w:name w:val="linetop"/>
    <w:basedOn w:val="a"/>
    <w:rsid w:val="001906E8"/>
    <w:pPr>
      <w:pBdr>
        <w:top w:val="single" w:sz="4" w:space="5" w:color="C1C1C1"/>
      </w:pBdr>
      <w:spacing w:before="100" w:after="100" w:afterAutospacing="1" w:line="240" w:lineRule="auto"/>
    </w:pPr>
    <w:rPr>
      <w:rFonts w:ascii="Times New Roman" w:eastAsia="Times New Roman" w:hAnsi="Times New Roman" w:cs="Times New Roman"/>
      <w:sz w:val="12"/>
      <w:szCs w:val="12"/>
    </w:rPr>
  </w:style>
  <w:style w:type="paragraph" w:customStyle="1" w:styleId="screenshot">
    <w:name w:val="screenshot"/>
    <w:basedOn w:val="a"/>
    <w:rsid w:val="001906E8"/>
    <w:pPr>
      <w:spacing w:before="100" w:beforeAutospacing="1" w:after="100" w:afterAutospacing="1" w:line="240" w:lineRule="auto"/>
      <w:jc w:val="center"/>
    </w:pPr>
    <w:rPr>
      <w:rFonts w:ascii="Times New Roman" w:eastAsia="Times New Roman" w:hAnsi="Times New Roman" w:cs="Times New Roman"/>
      <w:color w:val="AA1E1E"/>
      <w:sz w:val="12"/>
      <w:szCs w:val="12"/>
    </w:rPr>
  </w:style>
  <w:style w:type="paragraph" w:customStyle="1" w:styleId="screenshotnotext">
    <w:name w:val="screenshotnotex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vtop">
    <w:name w:val="vtop"/>
    <w:basedOn w:val="a"/>
    <w:rsid w:val="001906E8"/>
    <w:pPr>
      <w:spacing w:before="100" w:beforeAutospacing="1" w:after="100" w:afterAutospacing="1" w:line="240" w:lineRule="auto"/>
      <w:textAlignment w:val="top"/>
    </w:pPr>
    <w:rPr>
      <w:rFonts w:ascii="Times New Roman" w:eastAsia="Times New Roman" w:hAnsi="Times New Roman" w:cs="Times New Roman"/>
      <w:sz w:val="12"/>
      <w:szCs w:val="12"/>
    </w:rPr>
  </w:style>
  <w:style w:type="paragraph" w:customStyle="1" w:styleId="blue">
    <w:name w:val="blue"/>
    <w:basedOn w:val="a"/>
    <w:rsid w:val="001906E8"/>
    <w:pPr>
      <w:spacing w:before="100" w:beforeAutospacing="1" w:after="100" w:afterAutospacing="1" w:line="240" w:lineRule="auto"/>
    </w:pPr>
    <w:rPr>
      <w:rFonts w:ascii="Times New Roman" w:eastAsia="Times New Roman" w:hAnsi="Times New Roman" w:cs="Times New Roman"/>
      <w:color w:val="00668C"/>
      <w:sz w:val="12"/>
      <w:szCs w:val="12"/>
    </w:rPr>
  </w:style>
  <w:style w:type="paragraph" w:customStyle="1" w:styleId="calendarcolumnfirst">
    <w:name w:val="calendarcolumnfirs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alendarcolumn">
    <w:name w:val="calendarcolumn"/>
    <w:basedOn w:val="a"/>
    <w:rsid w:val="001906E8"/>
    <w:pPr>
      <w:spacing w:before="100" w:beforeAutospacing="1" w:after="100" w:afterAutospacing="1" w:line="240" w:lineRule="auto"/>
      <w:ind w:left="150"/>
    </w:pPr>
    <w:rPr>
      <w:rFonts w:ascii="Times New Roman" w:eastAsia="Times New Roman" w:hAnsi="Times New Roman" w:cs="Times New Roman"/>
      <w:sz w:val="12"/>
      <w:szCs w:val="12"/>
    </w:rPr>
  </w:style>
  <w:style w:type="paragraph" w:customStyle="1" w:styleId="calendarcolumnlast">
    <w:name w:val="calendarcolumnlast"/>
    <w:basedOn w:val="a"/>
    <w:rsid w:val="001906E8"/>
    <w:pPr>
      <w:spacing w:before="100" w:beforeAutospacing="1" w:after="100" w:afterAutospacing="1" w:line="240" w:lineRule="auto"/>
      <w:ind w:left="150"/>
    </w:pPr>
    <w:rPr>
      <w:rFonts w:ascii="Times New Roman" w:eastAsia="Times New Roman" w:hAnsi="Times New Roman" w:cs="Times New Roman"/>
      <w:sz w:val="12"/>
      <w:szCs w:val="12"/>
    </w:rPr>
  </w:style>
  <w:style w:type="paragraph" w:customStyle="1" w:styleId="calendar">
    <w:name w:val="calenda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dflink">
    <w:name w:val="pdflink"/>
    <w:basedOn w:val="a"/>
    <w:rsid w:val="001906E8"/>
    <w:pPr>
      <w:spacing w:before="50" w:after="100" w:afterAutospacing="1" w:line="240" w:lineRule="auto"/>
    </w:pPr>
    <w:rPr>
      <w:rFonts w:ascii="Times New Roman" w:eastAsia="Times New Roman" w:hAnsi="Times New Roman" w:cs="Times New Roman"/>
      <w:sz w:val="12"/>
      <w:szCs w:val="12"/>
    </w:rPr>
  </w:style>
  <w:style w:type="paragraph" w:customStyle="1" w:styleId="newsnavigation">
    <w:name w:val="newsnavigation"/>
    <w:basedOn w:val="a"/>
    <w:rsid w:val="001906E8"/>
    <w:pPr>
      <w:spacing w:before="50" w:after="100" w:afterAutospacing="1" w:line="240" w:lineRule="auto"/>
      <w:ind w:left="270"/>
    </w:pPr>
    <w:rPr>
      <w:rFonts w:ascii="Times New Roman" w:eastAsia="Times New Roman" w:hAnsi="Times New Roman" w:cs="Times New Roman"/>
      <w:sz w:val="12"/>
      <w:szCs w:val="12"/>
    </w:rPr>
  </w:style>
  <w:style w:type="paragraph" w:customStyle="1" w:styleId="newsnavigationbottom">
    <w:name w:val="newsnavigationbottom"/>
    <w:basedOn w:val="a"/>
    <w:rsid w:val="001906E8"/>
    <w:pPr>
      <w:spacing w:before="100" w:after="100" w:line="240" w:lineRule="auto"/>
    </w:pPr>
    <w:rPr>
      <w:rFonts w:ascii="Times New Roman" w:eastAsia="Times New Roman" w:hAnsi="Times New Roman" w:cs="Times New Roman"/>
      <w:sz w:val="12"/>
      <w:szCs w:val="12"/>
    </w:rPr>
  </w:style>
  <w:style w:type="paragraph" w:customStyle="1" w:styleId="news-nav">
    <w:name w:val="news-nav"/>
    <w:basedOn w:val="a"/>
    <w:rsid w:val="001906E8"/>
    <w:pPr>
      <w:pBdr>
        <w:left w:val="single" w:sz="4" w:space="8" w:color="666666"/>
      </w:pBdr>
      <w:spacing w:before="100" w:after="140" w:line="240" w:lineRule="auto"/>
      <w:ind w:left="100"/>
    </w:pPr>
    <w:rPr>
      <w:rFonts w:ascii="Times New Roman" w:eastAsia="Times New Roman" w:hAnsi="Times New Roman" w:cs="Times New Roman"/>
      <w:sz w:val="11"/>
      <w:szCs w:val="11"/>
    </w:rPr>
  </w:style>
  <w:style w:type="paragraph" w:customStyle="1" w:styleId="previous-item">
    <w:name w:val="previous-item"/>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sub-list">
    <w:name w:val="sub-list"/>
    <w:basedOn w:val="a"/>
    <w:rsid w:val="001906E8"/>
    <w:pPr>
      <w:spacing w:before="40" w:after="100" w:afterAutospacing="1" w:line="240" w:lineRule="auto"/>
      <w:ind w:left="80"/>
    </w:pPr>
    <w:rPr>
      <w:rFonts w:ascii="Times New Roman" w:eastAsia="Times New Roman" w:hAnsi="Times New Roman" w:cs="Times New Roman"/>
      <w:sz w:val="12"/>
      <w:szCs w:val="12"/>
    </w:rPr>
  </w:style>
  <w:style w:type="paragraph" w:customStyle="1" w:styleId="col-l-title">
    <w:name w:val="col-l-tit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adiobtn">
    <w:name w:val="radiobtn"/>
    <w:basedOn w:val="a"/>
    <w:rsid w:val="001906E8"/>
    <w:pPr>
      <w:spacing w:before="100" w:beforeAutospacing="1" w:after="100" w:afterAutospacing="1" w:line="240" w:lineRule="auto"/>
    </w:pPr>
    <w:rPr>
      <w:rFonts w:ascii="Times New Roman" w:eastAsia="Times New Roman" w:hAnsi="Times New Roman" w:cs="Times New Roman"/>
      <w:color w:val="FF0000"/>
      <w:sz w:val="12"/>
      <w:szCs w:val="12"/>
    </w:rPr>
  </w:style>
  <w:style w:type="paragraph" w:customStyle="1" w:styleId="download">
    <w:name w:val="download"/>
    <w:basedOn w:val="a"/>
    <w:rsid w:val="001906E8"/>
    <w:pPr>
      <w:spacing w:before="200" w:after="0" w:line="240" w:lineRule="auto"/>
    </w:pPr>
    <w:rPr>
      <w:rFonts w:ascii="Times New Roman" w:eastAsia="Times New Roman" w:hAnsi="Times New Roman" w:cs="Times New Roman"/>
      <w:sz w:val="12"/>
      <w:szCs w:val="12"/>
    </w:rPr>
  </w:style>
  <w:style w:type="paragraph" w:customStyle="1" w:styleId="sign-up-button">
    <w:name w:val="sign-up-button"/>
    <w:basedOn w:val="a"/>
    <w:rsid w:val="001906E8"/>
    <w:pPr>
      <w:spacing w:before="100" w:beforeAutospacing="1" w:after="100" w:afterAutospacing="1" w:line="240" w:lineRule="auto"/>
      <w:ind w:left="2620"/>
    </w:pPr>
    <w:rPr>
      <w:rFonts w:ascii="Times New Roman" w:eastAsia="Times New Roman" w:hAnsi="Times New Roman" w:cs="Times New Roman"/>
      <w:sz w:val="12"/>
      <w:szCs w:val="12"/>
    </w:rPr>
  </w:style>
  <w:style w:type="paragraph" w:customStyle="1" w:styleId="sul">
    <w:name w:val="sul"/>
    <w:basedOn w:val="a"/>
    <w:rsid w:val="001906E8"/>
    <w:pPr>
      <w:spacing w:before="100" w:beforeAutospacing="1" w:after="100" w:afterAutospacing="1" w:line="240" w:lineRule="auto"/>
      <w:jc w:val="right"/>
      <w:textAlignment w:val="top"/>
    </w:pPr>
    <w:rPr>
      <w:rFonts w:ascii="Times New Roman" w:eastAsia="Times New Roman" w:hAnsi="Times New Roman" w:cs="Times New Roman"/>
      <w:sz w:val="12"/>
      <w:szCs w:val="12"/>
    </w:rPr>
  </w:style>
  <w:style w:type="paragraph" w:customStyle="1" w:styleId="sur">
    <w:name w:val="su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eg-col">
    <w:name w:val="reg-col"/>
    <w:basedOn w:val="a"/>
    <w:rsid w:val="001906E8"/>
    <w:pPr>
      <w:spacing w:before="250" w:after="0" w:line="240" w:lineRule="auto"/>
      <w:ind w:right="170"/>
    </w:pPr>
    <w:rPr>
      <w:rFonts w:ascii="Times New Roman" w:eastAsia="Times New Roman" w:hAnsi="Times New Roman" w:cs="Times New Roman"/>
      <w:sz w:val="12"/>
      <w:szCs w:val="12"/>
    </w:rPr>
  </w:style>
  <w:style w:type="paragraph" w:customStyle="1" w:styleId="reg-t">
    <w:name w:val="reg-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eg-m">
    <w:name w:val="reg-m"/>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eg-b">
    <w:name w:val="reg-b"/>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eg-link">
    <w:name w:val="reg-link"/>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hoose-location">
    <w:name w:val="choose-location"/>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l-20">
    <w:name w:val="ml-20"/>
    <w:basedOn w:val="a"/>
    <w:rsid w:val="001906E8"/>
    <w:pPr>
      <w:spacing w:before="100" w:beforeAutospacing="1" w:after="100" w:afterAutospacing="1" w:line="240" w:lineRule="auto"/>
      <w:ind w:left="200"/>
    </w:pPr>
    <w:rPr>
      <w:rFonts w:ascii="Times New Roman" w:eastAsia="Times New Roman" w:hAnsi="Times New Roman" w:cs="Times New Roman"/>
      <w:sz w:val="12"/>
      <w:szCs w:val="12"/>
    </w:rPr>
  </w:style>
  <w:style w:type="paragraph" w:customStyle="1" w:styleId="cluetip-arrows">
    <w:name w:val="cluetip-arrows"/>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cluetip-rounded">
    <w:name w:val="cluetip-rounded"/>
    <w:basedOn w:val="a"/>
    <w:rsid w:val="001906E8"/>
    <w:pPr>
      <w:spacing w:before="100" w:after="100" w:afterAutospacing="1" w:line="240" w:lineRule="auto"/>
      <w:ind w:left="120"/>
    </w:pPr>
    <w:rPr>
      <w:rFonts w:ascii="Times New Roman" w:eastAsia="Times New Roman" w:hAnsi="Times New Roman" w:cs="Times New Roman"/>
      <w:sz w:val="12"/>
      <w:szCs w:val="12"/>
    </w:rPr>
  </w:style>
  <w:style w:type="paragraph" w:customStyle="1" w:styleId="cstitle">
    <w:name w:val="cstitle"/>
    <w:basedOn w:val="a"/>
    <w:rsid w:val="001906E8"/>
    <w:pPr>
      <w:spacing w:before="100" w:beforeAutospacing="1" w:after="100" w:afterAutospacing="1" w:line="240" w:lineRule="auto"/>
      <w:jc w:val="center"/>
    </w:pPr>
    <w:rPr>
      <w:rFonts w:ascii="Times New Roman" w:eastAsia="Times New Roman" w:hAnsi="Times New Roman" w:cs="Times New Roman"/>
      <w:b/>
      <w:bCs/>
      <w:color w:val="CC0000"/>
      <w:sz w:val="14"/>
      <w:szCs w:val="14"/>
    </w:rPr>
  </w:style>
  <w:style w:type="paragraph" w:customStyle="1" w:styleId="cstop">
    <w:name w:val="csto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sbottom">
    <w:name w:val="csbottom"/>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smiddle">
    <w:name w:val="csmidd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item-thumb">
    <w:name w:val="item-thumb"/>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ager">
    <w:name w:val="pager"/>
    <w:basedOn w:val="a"/>
    <w:rsid w:val="001906E8"/>
    <w:pPr>
      <w:spacing w:before="100" w:after="100" w:afterAutospacing="1" w:line="250" w:lineRule="atLeast"/>
    </w:pPr>
    <w:rPr>
      <w:rFonts w:ascii="Times New Roman" w:eastAsia="Times New Roman" w:hAnsi="Times New Roman" w:cs="Times New Roman"/>
      <w:b/>
      <w:bCs/>
      <w:color w:val="002C40"/>
    </w:rPr>
  </w:style>
  <w:style w:type="paragraph" w:customStyle="1" w:styleId="pagerstatus">
    <w:name w:val="pagerstatu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agerlinks">
    <w:name w:val="pagerlinks"/>
    <w:basedOn w:val="a"/>
    <w:rsid w:val="001906E8"/>
    <w:pPr>
      <w:spacing w:before="100" w:beforeAutospacing="1" w:after="100" w:afterAutospacing="1" w:line="240" w:lineRule="auto"/>
      <w:jc w:val="right"/>
    </w:pPr>
    <w:rPr>
      <w:rFonts w:ascii="Times New Roman" w:eastAsia="Times New Roman" w:hAnsi="Times New Roman" w:cs="Times New Roman"/>
      <w:sz w:val="12"/>
      <w:szCs w:val="12"/>
    </w:rPr>
  </w:style>
  <w:style w:type="paragraph" w:customStyle="1" w:styleId="current">
    <w:name w:val="current"/>
    <w:basedOn w:val="a"/>
    <w:rsid w:val="001906E8"/>
    <w:pPr>
      <w:spacing w:before="100" w:beforeAutospacing="1" w:after="100" w:afterAutospacing="1" w:line="240" w:lineRule="auto"/>
    </w:pPr>
    <w:rPr>
      <w:rFonts w:ascii="Times New Roman" w:eastAsia="Times New Roman" w:hAnsi="Times New Roman" w:cs="Times New Roman"/>
      <w:b/>
      <w:bCs/>
      <w:color w:val="002C40"/>
      <w:sz w:val="12"/>
      <w:szCs w:val="12"/>
    </w:rPr>
  </w:style>
  <w:style w:type="paragraph" w:customStyle="1" w:styleId="promos">
    <w:name w:val="promos"/>
    <w:basedOn w:val="a"/>
    <w:rsid w:val="001906E8"/>
    <w:pPr>
      <w:spacing w:before="100" w:after="100" w:afterAutospacing="1" w:line="240" w:lineRule="auto"/>
    </w:pPr>
    <w:rPr>
      <w:rFonts w:ascii="Times New Roman" w:eastAsia="Times New Roman" w:hAnsi="Times New Roman" w:cs="Times New Roman"/>
      <w:sz w:val="12"/>
      <w:szCs w:val="12"/>
    </w:rPr>
  </w:style>
  <w:style w:type="paragraph" w:customStyle="1" w:styleId="promo-gray-top">
    <w:name w:val="promo-gray-to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omo-gray-middle">
    <w:name w:val="promo-gray-midd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omo-gray-bottom">
    <w:name w:val="promo-gray-bottom"/>
    <w:basedOn w:val="a"/>
    <w:rsid w:val="001906E8"/>
    <w:pPr>
      <w:spacing w:after="100" w:line="240" w:lineRule="auto"/>
    </w:pPr>
    <w:rPr>
      <w:rFonts w:ascii="Times New Roman" w:eastAsia="Times New Roman" w:hAnsi="Times New Roman" w:cs="Times New Roman"/>
      <w:sz w:val="12"/>
      <w:szCs w:val="12"/>
    </w:rPr>
  </w:style>
  <w:style w:type="paragraph" w:customStyle="1" w:styleId="promo-white-top">
    <w:name w:val="promo-white-to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omo-white-middle">
    <w:name w:val="promo-white-midd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omo-white-bottom">
    <w:name w:val="promo-white-bottom"/>
    <w:basedOn w:val="a"/>
    <w:rsid w:val="001906E8"/>
    <w:pPr>
      <w:spacing w:after="100" w:line="240" w:lineRule="auto"/>
    </w:pPr>
    <w:rPr>
      <w:rFonts w:ascii="Times New Roman" w:eastAsia="Times New Roman" w:hAnsi="Times New Roman" w:cs="Times New Roman"/>
      <w:sz w:val="12"/>
      <w:szCs w:val="12"/>
    </w:rPr>
  </w:style>
  <w:style w:type="paragraph" w:customStyle="1" w:styleId="promo-red-top">
    <w:name w:val="promo-red-to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omo-red-middle">
    <w:name w:val="promo-red-midd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omo-red-bottom">
    <w:name w:val="promo-red-bottom"/>
    <w:basedOn w:val="a"/>
    <w:rsid w:val="001906E8"/>
    <w:pPr>
      <w:spacing w:after="100" w:line="240" w:lineRule="auto"/>
    </w:pPr>
    <w:rPr>
      <w:rFonts w:ascii="Times New Roman" w:eastAsia="Times New Roman" w:hAnsi="Times New Roman" w:cs="Times New Roman"/>
      <w:sz w:val="12"/>
      <w:szCs w:val="12"/>
    </w:rPr>
  </w:style>
  <w:style w:type="paragraph" w:customStyle="1" w:styleId="ecitems">
    <w:name w:val="ecitems"/>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menudrop">
    <w:name w:val="menudro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ain">
    <w:name w:val="main"/>
    <w:basedOn w:val="a"/>
    <w:rsid w:val="001906E8"/>
    <w:pPr>
      <w:spacing w:before="100" w:after="0" w:line="240" w:lineRule="auto"/>
    </w:pPr>
    <w:rPr>
      <w:rFonts w:ascii="Times New Roman" w:eastAsia="Times New Roman" w:hAnsi="Times New Roman" w:cs="Times New Roman"/>
      <w:sz w:val="12"/>
      <w:szCs w:val="12"/>
    </w:rPr>
  </w:style>
  <w:style w:type="paragraph" w:customStyle="1" w:styleId="headlineonlylist">
    <w:name w:val="headlineonlylis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btitlecontainer">
    <w:name w:val="rbtitlecontainer"/>
    <w:basedOn w:val="a"/>
    <w:rsid w:val="001906E8"/>
    <w:pPr>
      <w:spacing w:before="100" w:beforeAutospacing="1" w:after="100" w:afterAutospacing="1" w:line="240" w:lineRule="auto"/>
      <w:ind w:right="50"/>
    </w:pPr>
    <w:rPr>
      <w:rFonts w:ascii="Times New Roman" w:eastAsia="Times New Roman" w:hAnsi="Times New Roman" w:cs="Times New Roman"/>
      <w:sz w:val="12"/>
      <w:szCs w:val="12"/>
    </w:rPr>
  </w:style>
  <w:style w:type="paragraph" w:customStyle="1" w:styleId="rbtitlecontainerfirst">
    <w:name w:val="rbtitlecontainerfirst"/>
    <w:basedOn w:val="a"/>
    <w:rsid w:val="001906E8"/>
    <w:pPr>
      <w:spacing w:before="100" w:beforeAutospacing="1" w:after="100" w:afterAutospacing="1" w:line="130" w:lineRule="atLeast"/>
    </w:pPr>
    <w:rPr>
      <w:rFonts w:ascii="Times New Roman" w:eastAsia="Times New Roman" w:hAnsi="Times New Roman" w:cs="Times New Roman"/>
      <w:sz w:val="12"/>
      <w:szCs w:val="12"/>
    </w:rPr>
  </w:style>
  <w:style w:type="paragraph" w:customStyle="1" w:styleId="mw-smartsearchresultsdescription">
    <w:name w:val="mw-smartsearchresultsdescription"/>
    <w:basedOn w:val="a"/>
    <w:rsid w:val="001906E8"/>
    <w:pPr>
      <w:spacing w:before="100" w:beforeAutospacing="1" w:after="100" w:afterAutospacing="1" w:line="336" w:lineRule="atLeast"/>
    </w:pPr>
    <w:rPr>
      <w:rFonts w:ascii="Times New Roman" w:eastAsia="Times New Roman" w:hAnsi="Times New Roman" w:cs="Times New Roman"/>
      <w:sz w:val="19"/>
      <w:szCs w:val="19"/>
    </w:rPr>
  </w:style>
  <w:style w:type="paragraph" w:customStyle="1" w:styleId="newsroom-contact">
    <w:name w:val="newsroom-contact"/>
    <w:basedOn w:val="a"/>
    <w:rsid w:val="001906E8"/>
    <w:pPr>
      <w:pBdr>
        <w:top w:val="single" w:sz="4" w:space="0" w:color="D0D2D3"/>
      </w:pBd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roomlink">
    <w:name w:val="newsroomlink"/>
    <w:basedOn w:val="a"/>
    <w:rsid w:val="001906E8"/>
    <w:pPr>
      <w:spacing w:before="50" w:after="100" w:afterAutospacing="1" w:line="240" w:lineRule="auto"/>
    </w:pPr>
    <w:rPr>
      <w:rFonts w:ascii="Times New Roman" w:eastAsia="Times New Roman" w:hAnsi="Times New Roman" w:cs="Times New Roman"/>
      <w:sz w:val="12"/>
      <w:szCs w:val="12"/>
    </w:rPr>
  </w:style>
  <w:style w:type="paragraph" w:customStyle="1" w:styleId="jb-col-title">
    <w:name w:val="jb-col-tit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container">
    <w:name w:val="jcarousel-containe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direction-rtl">
    <w:name w:val="jcarousel-direction-rt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container-horizontal">
    <w:name w:val="jcarousel-container-horizonta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clip-horizontal">
    <w:name w:val="jcarousel-clip-horizonta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item">
    <w:name w:val="jcarousel-item"/>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item-horizontal">
    <w:name w:val="jcarousel-item-horizonta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item-placeholder">
    <w:name w:val="jcarousel-item-placeholde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next-horizontal">
    <w:name w:val="jcarousel-next-horizonta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prev-horizontal">
    <w:name w:val="jcarousel-prev-horizonta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abel">
    <w:name w:val="labe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11">
    <w:name w:val="날짜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event">
    <w:name w:val="even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top">
    <w:name w:val="to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iddle">
    <w:name w:val="midd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bottom">
    <w:name w:val="bottom"/>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eadlinedate">
    <w:name w:val="headlinedat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eadlinetitle">
    <w:name w:val="headlinetit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query">
    <w:name w:val="query"/>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ode">
    <w:name w:val="mod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kscontent">
    <w:name w:val="ksconten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kstext">
    <w:name w:val="kstex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uthor">
    <w:name w:val="autho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img">
    <w:name w:val="img"/>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details">
    <w:name w:val="detail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topheader">
    <w:name w:val="topheade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istimg">
    <w:name w:val="listimg"/>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istcontent">
    <w:name w:val="listconten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status">
    <w:name w:val="statu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ontrols">
    <w:name w:val="control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t15temail">
    <w:name w:val="at15t_email"/>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highlight">
    <w:name w:val="highlight"/>
    <w:basedOn w:val="a"/>
    <w:rsid w:val="001906E8"/>
    <w:pPr>
      <w:shd w:val="clear" w:color="auto" w:fill="F3F3F3"/>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ddress">
    <w:name w:val="addres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lan">
    <w:name w:val="plan"/>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reate">
    <w:name w:val="creat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nalyze">
    <w:name w:val="analyz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isten">
    <w:name w:val="listen"/>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engage">
    <w:name w:val="engag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query1">
    <w:name w:val="query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ode1">
    <w:name w:val="mod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query2">
    <w:name w:val="query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ode2">
    <w:name w:val="mode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ddress1">
    <w:name w:val="address1"/>
    <w:basedOn w:val="a"/>
    <w:rsid w:val="001906E8"/>
    <w:pPr>
      <w:spacing w:before="100" w:beforeAutospacing="1" w:after="100" w:afterAutospacing="1" w:line="240" w:lineRule="auto"/>
    </w:pPr>
    <w:rPr>
      <w:rFonts w:ascii="Times New Roman" w:eastAsia="Times New Roman" w:hAnsi="Times New Roman" w:cs="Times New Roman"/>
      <w:color w:val="FFFFFF"/>
      <w:sz w:val="12"/>
      <w:szCs w:val="12"/>
    </w:rPr>
  </w:style>
  <w:style w:type="paragraph" w:customStyle="1" w:styleId="l1">
    <w:name w:val="l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b-col-title1">
    <w:name w:val="jb-col-title1"/>
    <w:basedOn w:val="a"/>
    <w:rsid w:val="001906E8"/>
    <w:pPr>
      <w:spacing w:after="0" w:line="240" w:lineRule="auto"/>
    </w:pPr>
    <w:rPr>
      <w:rFonts w:ascii="Times New Roman" w:eastAsia="Times New Roman" w:hAnsi="Times New Roman" w:cs="Times New Roman"/>
      <w:color w:val="006694"/>
      <w:sz w:val="12"/>
      <w:szCs w:val="12"/>
    </w:rPr>
  </w:style>
  <w:style w:type="paragraph" w:customStyle="1" w:styleId="jcarousel-container1">
    <w:name w:val="jcarousel-container1"/>
    <w:basedOn w:val="a"/>
    <w:rsid w:val="001906E8"/>
    <w:pPr>
      <w:spacing w:before="100" w:beforeAutospacing="1" w:after="100" w:afterAutospacing="1" w:line="240" w:lineRule="auto"/>
      <w:ind w:left="200"/>
    </w:pPr>
    <w:rPr>
      <w:rFonts w:ascii="Times New Roman" w:eastAsia="Times New Roman" w:hAnsi="Times New Roman" w:cs="Times New Roman"/>
      <w:sz w:val="12"/>
      <w:szCs w:val="12"/>
    </w:rPr>
  </w:style>
  <w:style w:type="paragraph" w:customStyle="1" w:styleId="jcarousel-direction-rtl1">
    <w:name w:val="jcarousel-direction-rtl1"/>
    <w:basedOn w:val="a"/>
    <w:rsid w:val="001906E8"/>
    <w:pPr>
      <w:bidi/>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container-horizontal1">
    <w:name w:val="jcarousel-container-horizontal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clip-horizontal1">
    <w:name w:val="jcarousel-clip-horizontal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item1">
    <w:name w:val="jcarousel-item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item-horizontal1">
    <w:name w:val="jcarousel-item-horizontal1"/>
    <w:basedOn w:val="a"/>
    <w:rsid w:val="001906E8"/>
    <w:pPr>
      <w:spacing w:before="100" w:beforeAutospacing="1" w:after="100" w:afterAutospacing="1" w:line="240" w:lineRule="auto"/>
      <w:ind w:right="100"/>
    </w:pPr>
    <w:rPr>
      <w:rFonts w:ascii="Times New Roman" w:eastAsia="Times New Roman" w:hAnsi="Times New Roman" w:cs="Times New Roman"/>
      <w:sz w:val="12"/>
      <w:szCs w:val="12"/>
    </w:rPr>
  </w:style>
  <w:style w:type="paragraph" w:customStyle="1" w:styleId="jcarousel-item-horizontal2">
    <w:name w:val="jcarousel-item-horizontal2"/>
    <w:basedOn w:val="a"/>
    <w:rsid w:val="001906E8"/>
    <w:pPr>
      <w:spacing w:before="100" w:beforeAutospacing="1" w:after="100" w:afterAutospacing="1" w:line="240" w:lineRule="auto"/>
      <w:ind w:left="100"/>
    </w:pPr>
    <w:rPr>
      <w:rFonts w:ascii="Times New Roman" w:eastAsia="Times New Roman" w:hAnsi="Times New Roman" w:cs="Times New Roman"/>
      <w:sz w:val="12"/>
      <w:szCs w:val="12"/>
    </w:rPr>
  </w:style>
  <w:style w:type="paragraph" w:customStyle="1" w:styleId="jcarousel-item-placeholder1">
    <w:name w:val="jcarousel-item-placeholder1"/>
    <w:basedOn w:val="a"/>
    <w:rsid w:val="001906E8"/>
    <w:pPr>
      <w:shd w:val="clear" w:color="auto" w:fill="FFFFFF"/>
      <w:spacing w:before="100" w:beforeAutospacing="1" w:after="100" w:afterAutospacing="1" w:line="240" w:lineRule="auto"/>
    </w:pPr>
    <w:rPr>
      <w:rFonts w:ascii="Times New Roman" w:eastAsia="Times New Roman" w:hAnsi="Times New Roman" w:cs="Times New Roman"/>
      <w:color w:val="000000"/>
      <w:sz w:val="12"/>
      <w:szCs w:val="12"/>
    </w:rPr>
  </w:style>
  <w:style w:type="paragraph" w:customStyle="1" w:styleId="jcarousel-next-horizontal1">
    <w:name w:val="jcarousel-next-horizontal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next-horizontal2">
    <w:name w:val="jcarousel-next-horizontal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prev-horizontal1">
    <w:name w:val="jcarousel-prev-horizontal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prev-horizontal2">
    <w:name w:val="jcarousel-prev-horizontal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abel1">
    <w:name w:val="label1"/>
    <w:basedOn w:val="a"/>
    <w:rsid w:val="001906E8"/>
    <w:pPr>
      <w:spacing w:before="100" w:beforeAutospacing="1" w:after="100" w:afterAutospacing="1" w:line="240" w:lineRule="auto"/>
      <w:jc w:val="right"/>
    </w:pPr>
    <w:rPr>
      <w:rFonts w:ascii="Times New Roman" w:eastAsia="Times New Roman" w:hAnsi="Times New Roman" w:cs="Times New Roman"/>
      <w:color w:val="666666"/>
      <w:sz w:val="12"/>
      <w:szCs w:val="12"/>
    </w:rPr>
  </w:style>
  <w:style w:type="paragraph" w:customStyle="1" w:styleId="kscontent1">
    <w:name w:val="kscontent1"/>
    <w:basedOn w:val="a"/>
    <w:rsid w:val="001906E8"/>
    <w:pPr>
      <w:spacing w:before="100" w:after="100" w:afterAutospacing="1" w:line="240" w:lineRule="auto"/>
    </w:pPr>
    <w:rPr>
      <w:rFonts w:ascii="Times New Roman" w:eastAsia="Times New Roman" w:hAnsi="Times New Roman" w:cs="Times New Roman"/>
      <w:sz w:val="12"/>
      <w:szCs w:val="12"/>
    </w:rPr>
  </w:style>
  <w:style w:type="paragraph" w:customStyle="1" w:styleId="kstext1">
    <w:name w:val="kstext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uthor1">
    <w:name w:val="author1"/>
    <w:basedOn w:val="a"/>
    <w:rsid w:val="001906E8"/>
    <w:pPr>
      <w:spacing w:before="100" w:beforeAutospacing="1" w:after="100" w:afterAutospacing="1" w:line="300" w:lineRule="atLeast"/>
    </w:pPr>
    <w:rPr>
      <w:rFonts w:ascii="Times New Roman" w:eastAsia="Times New Roman" w:hAnsi="Times New Roman" w:cs="Times New Roman"/>
      <w:sz w:val="12"/>
      <w:szCs w:val="12"/>
    </w:rPr>
  </w:style>
  <w:style w:type="paragraph" w:customStyle="1" w:styleId="img1">
    <w:name w:val="img1"/>
    <w:basedOn w:val="a"/>
    <w:rsid w:val="001906E8"/>
    <w:pPr>
      <w:spacing w:before="100" w:beforeAutospacing="1" w:after="100" w:afterAutospacing="1" w:line="240" w:lineRule="auto"/>
      <w:ind w:left="200"/>
    </w:pPr>
    <w:rPr>
      <w:rFonts w:ascii="Times New Roman" w:eastAsia="Times New Roman" w:hAnsi="Times New Roman" w:cs="Times New Roman"/>
      <w:sz w:val="12"/>
      <w:szCs w:val="12"/>
    </w:rPr>
  </w:style>
  <w:style w:type="paragraph" w:customStyle="1" w:styleId="details1">
    <w:name w:val="details1"/>
    <w:basedOn w:val="a"/>
    <w:rsid w:val="001906E8"/>
    <w:pPr>
      <w:spacing w:before="100" w:beforeAutospacing="1" w:after="100" w:line="240" w:lineRule="auto"/>
    </w:pPr>
    <w:rPr>
      <w:rFonts w:ascii="Times New Roman" w:eastAsia="Times New Roman" w:hAnsi="Times New Roman" w:cs="Times New Roman"/>
      <w:sz w:val="12"/>
      <w:szCs w:val="12"/>
    </w:rPr>
  </w:style>
  <w:style w:type="paragraph" w:customStyle="1" w:styleId="img2">
    <w:name w:val="img2"/>
    <w:basedOn w:val="a"/>
    <w:rsid w:val="001906E8"/>
    <w:pPr>
      <w:spacing w:before="50" w:after="100" w:afterAutospacing="1" w:line="240" w:lineRule="auto"/>
    </w:pPr>
    <w:rPr>
      <w:rFonts w:ascii="Times New Roman" w:eastAsia="Times New Roman" w:hAnsi="Times New Roman" w:cs="Times New Roman"/>
      <w:sz w:val="12"/>
      <w:szCs w:val="12"/>
    </w:rPr>
  </w:style>
  <w:style w:type="paragraph" w:customStyle="1" w:styleId="topheader1">
    <w:name w:val="topheader1"/>
    <w:basedOn w:val="a"/>
    <w:rsid w:val="001906E8"/>
    <w:pPr>
      <w:pBdr>
        <w:bottom w:val="single" w:sz="4" w:space="5" w:color="CCCCCC"/>
      </w:pBdr>
      <w:spacing w:before="100" w:beforeAutospacing="1" w:after="100" w:afterAutospacing="1" w:line="240" w:lineRule="auto"/>
    </w:pPr>
    <w:rPr>
      <w:rFonts w:ascii="Times New Roman" w:eastAsia="Times New Roman" w:hAnsi="Times New Roman" w:cs="Times New Roman"/>
      <w:color w:val="666666"/>
      <w:sz w:val="12"/>
      <w:szCs w:val="12"/>
    </w:rPr>
  </w:style>
  <w:style w:type="paragraph" w:customStyle="1" w:styleId="listimg1">
    <w:name w:val="listimg1"/>
    <w:basedOn w:val="a"/>
    <w:rsid w:val="001906E8"/>
    <w:pPr>
      <w:spacing w:before="100" w:beforeAutospacing="1" w:after="100" w:afterAutospacing="1" w:line="240" w:lineRule="auto"/>
      <w:jc w:val="center"/>
    </w:pPr>
    <w:rPr>
      <w:rFonts w:ascii="Times New Roman" w:eastAsia="Times New Roman" w:hAnsi="Times New Roman" w:cs="Times New Roman"/>
      <w:color w:val="666666"/>
      <w:sz w:val="12"/>
      <w:szCs w:val="12"/>
    </w:rPr>
  </w:style>
  <w:style w:type="paragraph" w:customStyle="1" w:styleId="listcontent1">
    <w:name w:val="listcontent1"/>
    <w:basedOn w:val="a"/>
    <w:rsid w:val="001906E8"/>
    <w:pPr>
      <w:spacing w:before="120" w:after="100" w:afterAutospacing="1" w:line="240" w:lineRule="auto"/>
    </w:pPr>
    <w:rPr>
      <w:rFonts w:ascii="Times New Roman" w:eastAsia="Times New Roman" w:hAnsi="Times New Roman" w:cs="Times New Roman"/>
      <w:color w:val="666666"/>
      <w:sz w:val="12"/>
      <w:szCs w:val="12"/>
    </w:rPr>
  </w:style>
  <w:style w:type="paragraph" w:customStyle="1" w:styleId="details2">
    <w:name w:val="details2"/>
    <w:basedOn w:val="a"/>
    <w:rsid w:val="001906E8"/>
    <w:pPr>
      <w:spacing w:before="100" w:beforeAutospacing="1" w:after="100" w:afterAutospacing="1" w:line="240" w:lineRule="auto"/>
      <w:textAlignment w:val="top"/>
    </w:pPr>
    <w:rPr>
      <w:rFonts w:ascii="Times New Roman" w:eastAsia="Times New Roman" w:hAnsi="Times New Roman" w:cs="Times New Roman"/>
      <w:sz w:val="11"/>
      <w:szCs w:val="11"/>
    </w:rPr>
  </w:style>
  <w:style w:type="paragraph" w:customStyle="1" w:styleId="status1">
    <w:name w:val="status1"/>
    <w:basedOn w:val="a"/>
    <w:rsid w:val="001906E8"/>
    <w:pPr>
      <w:spacing w:before="100" w:beforeAutospacing="1" w:after="100" w:afterAutospacing="1" w:line="240" w:lineRule="auto"/>
    </w:pPr>
    <w:rPr>
      <w:rFonts w:ascii="Times New Roman" w:eastAsia="Times New Roman" w:hAnsi="Times New Roman" w:cs="Times New Roman"/>
      <w:sz w:val="10"/>
      <w:szCs w:val="10"/>
    </w:rPr>
  </w:style>
  <w:style w:type="paragraph" w:customStyle="1" w:styleId="details3">
    <w:name w:val="details3"/>
    <w:basedOn w:val="a"/>
    <w:rsid w:val="001906E8"/>
    <w:pPr>
      <w:spacing w:before="100" w:beforeAutospacing="1" w:after="100" w:afterAutospacing="1" w:line="240" w:lineRule="auto"/>
      <w:textAlignment w:val="top"/>
    </w:pPr>
    <w:rPr>
      <w:rFonts w:ascii="Times New Roman" w:eastAsia="Times New Roman" w:hAnsi="Times New Roman" w:cs="Times New Roman"/>
      <w:sz w:val="11"/>
      <w:szCs w:val="11"/>
    </w:rPr>
  </w:style>
  <w:style w:type="paragraph" w:customStyle="1" w:styleId="status2">
    <w:name w:val="status2"/>
    <w:basedOn w:val="a"/>
    <w:rsid w:val="001906E8"/>
    <w:pPr>
      <w:spacing w:before="100" w:beforeAutospacing="1" w:after="100" w:afterAutospacing="1" w:line="240" w:lineRule="auto"/>
      <w:jc w:val="center"/>
    </w:pPr>
    <w:rPr>
      <w:rFonts w:ascii="Times New Roman" w:eastAsia="Times New Roman" w:hAnsi="Times New Roman" w:cs="Times New Roman"/>
      <w:sz w:val="10"/>
      <w:szCs w:val="10"/>
    </w:rPr>
  </w:style>
  <w:style w:type="paragraph" w:customStyle="1" w:styleId="date1">
    <w:name w:val="dat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event1">
    <w:name w:val="event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details4">
    <w:name w:val="details4"/>
    <w:basedOn w:val="a"/>
    <w:rsid w:val="001906E8"/>
    <w:pPr>
      <w:spacing w:before="100" w:beforeAutospacing="1" w:after="100" w:afterAutospacing="1" w:line="240" w:lineRule="auto"/>
      <w:textAlignment w:val="top"/>
    </w:pPr>
    <w:rPr>
      <w:rFonts w:ascii="Times New Roman" w:eastAsia="Times New Roman" w:hAnsi="Times New Roman" w:cs="Times New Roman"/>
      <w:sz w:val="12"/>
      <w:szCs w:val="12"/>
    </w:rPr>
  </w:style>
  <w:style w:type="paragraph" w:customStyle="1" w:styleId="status3">
    <w:name w:val="status3"/>
    <w:basedOn w:val="a"/>
    <w:rsid w:val="001906E8"/>
    <w:pPr>
      <w:spacing w:before="100" w:beforeAutospacing="1" w:after="100" w:afterAutospacing="1" w:line="240" w:lineRule="auto"/>
    </w:pPr>
    <w:rPr>
      <w:rFonts w:ascii="Times New Roman" w:eastAsia="Times New Roman" w:hAnsi="Times New Roman" w:cs="Times New Roman"/>
      <w:sz w:val="10"/>
      <w:szCs w:val="10"/>
    </w:rPr>
  </w:style>
  <w:style w:type="paragraph" w:customStyle="1" w:styleId="sorry1">
    <w:name w:val="sorry1"/>
    <w:basedOn w:val="a"/>
    <w:rsid w:val="001906E8"/>
    <w:pPr>
      <w:spacing w:before="100" w:beforeAutospacing="1" w:after="100" w:afterAutospacing="1" w:line="240" w:lineRule="auto"/>
    </w:pPr>
    <w:rPr>
      <w:rFonts w:ascii="Times New Roman" w:eastAsia="Times New Roman" w:hAnsi="Times New Roman" w:cs="Times New Roman"/>
      <w:color w:val="B71E1E"/>
      <w:sz w:val="12"/>
      <w:szCs w:val="12"/>
    </w:rPr>
  </w:style>
  <w:style w:type="paragraph" w:customStyle="1" w:styleId="plan1">
    <w:name w:val="plan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reate1">
    <w:name w:val="creat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nalyze1">
    <w:name w:val="analyz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isten1">
    <w:name w:val="listen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engage1">
    <w:name w:val="engag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share1">
    <w:name w:val="shar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luetip-arrows1">
    <w:name w:val="cluetip-arrows1"/>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cluetip-arrows2">
    <w:name w:val="cluetip-arrows2"/>
    <w:basedOn w:val="a"/>
    <w:rsid w:val="001906E8"/>
    <w:pPr>
      <w:spacing w:before="100" w:beforeAutospacing="1" w:after="100" w:afterAutospacing="1" w:line="240" w:lineRule="auto"/>
      <w:ind w:right="-110"/>
    </w:pPr>
    <w:rPr>
      <w:rFonts w:ascii="Times New Roman" w:eastAsia="Times New Roman" w:hAnsi="Times New Roman" w:cs="Times New Roman"/>
      <w:vanish/>
      <w:sz w:val="12"/>
      <w:szCs w:val="12"/>
    </w:rPr>
  </w:style>
  <w:style w:type="paragraph" w:customStyle="1" w:styleId="cluetip-arrows3">
    <w:name w:val="cluetip-arrows3"/>
    <w:basedOn w:val="a"/>
    <w:rsid w:val="001906E8"/>
    <w:pPr>
      <w:spacing w:before="100" w:beforeAutospacing="1" w:after="100" w:afterAutospacing="1" w:line="240" w:lineRule="auto"/>
      <w:ind w:left="-110"/>
    </w:pPr>
    <w:rPr>
      <w:rFonts w:ascii="Times New Roman" w:eastAsia="Times New Roman" w:hAnsi="Times New Roman" w:cs="Times New Roman"/>
      <w:vanish/>
      <w:sz w:val="12"/>
      <w:szCs w:val="12"/>
    </w:rPr>
  </w:style>
  <w:style w:type="paragraph" w:customStyle="1" w:styleId="cluetip-arrows4">
    <w:name w:val="cluetip-arrows4"/>
    <w:basedOn w:val="a"/>
    <w:rsid w:val="001906E8"/>
    <w:pPr>
      <w:spacing w:before="100" w:beforeAutospacing="1" w:after="100" w:afterAutospacing="1" w:line="240" w:lineRule="auto"/>
      <w:ind w:left="-110"/>
    </w:pPr>
    <w:rPr>
      <w:rFonts w:ascii="Times New Roman" w:eastAsia="Times New Roman" w:hAnsi="Times New Roman" w:cs="Times New Roman"/>
      <w:vanish/>
      <w:sz w:val="12"/>
      <w:szCs w:val="12"/>
    </w:rPr>
  </w:style>
  <w:style w:type="paragraph" w:customStyle="1" w:styleId="cluetip-arrows5">
    <w:name w:val="cluetip-arrows5"/>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cluetip-arrows6">
    <w:name w:val="cluetip-arrows6"/>
    <w:basedOn w:val="a"/>
    <w:rsid w:val="001906E8"/>
    <w:pPr>
      <w:spacing w:before="100" w:beforeAutospacing="1" w:after="100" w:afterAutospacing="1" w:line="240" w:lineRule="auto"/>
      <w:ind w:right="-110"/>
    </w:pPr>
    <w:rPr>
      <w:rFonts w:ascii="Times New Roman" w:eastAsia="Times New Roman" w:hAnsi="Times New Roman" w:cs="Times New Roman"/>
      <w:vanish/>
      <w:sz w:val="12"/>
      <w:szCs w:val="12"/>
    </w:rPr>
  </w:style>
  <w:style w:type="paragraph" w:customStyle="1" w:styleId="cluetip-arrows7">
    <w:name w:val="cluetip-arrows7"/>
    <w:basedOn w:val="a"/>
    <w:rsid w:val="001906E8"/>
    <w:pPr>
      <w:spacing w:before="100" w:beforeAutospacing="1" w:after="100" w:afterAutospacing="1" w:line="240" w:lineRule="auto"/>
      <w:ind w:left="-110"/>
    </w:pPr>
    <w:rPr>
      <w:rFonts w:ascii="Times New Roman" w:eastAsia="Times New Roman" w:hAnsi="Times New Roman" w:cs="Times New Roman"/>
      <w:vanish/>
      <w:sz w:val="12"/>
      <w:szCs w:val="12"/>
    </w:rPr>
  </w:style>
  <w:style w:type="paragraph" w:customStyle="1" w:styleId="cluetip-arrows8">
    <w:name w:val="cluetip-arrows8"/>
    <w:basedOn w:val="a"/>
    <w:rsid w:val="001906E8"/>
    <w:pPr>
      <w:spacing w:before="100" w:beforeAutospacing="1" w:after="100" w:afterAutospacing="1" w:line="240" w:lineRule="auto"/>
      <w:ind w:left="-110"/>
    </w:pPr>
    <w:rPr>
      <w:rFonts w:ascii="Times New Roman" w:eastAsia="Times New Roman" w:hAnsi="Times New Roman" w:cs="Times New Roman"/>
      <w:vanish/>
      <w:sz w:val="12"/>
      <w:szCs w:val="12"/>
    </w:rPr>
  </w:style>
  <w:style w:type="paragraph" w:customStyle="1" w:styleId="cluetip-arrows9">
    <w:name w:val="cluetip-arrows9"/>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cluetip-arrows10">
    <w:name w:val="cluetip-arrows10"/>
    <w:basedOn w:val="a"/>
    <w:rsid w:val="001906E8"/>
    <w:pPr>
      <w:spacing w:before="100" w:beforeAutospacing="1" w:after="100" w:afterAutospacing="1" w:line="240" w:lineRule="auto"/>
      <w:ind w:left="120"/>
    </w:pPr>
    <w:rPr>
      <w:rFonts w:ascii="Times New Roman" w:eastAsia="Times New Roman" w:hAnsi="Times New Roman" w:cs="Times New Roman"/>
      <w:vanish/>
      <w:sz w:val="12"/>
      <w:szCs w:val="12"/>
    </w:rPr>
  </w:style>
  <w:style w:type="paragraph" w:customStyle="1" w:styleId="cluetip-arrows11">
    <w:name w:val="cluetip-arrows11"/>
    <w:basedOn w:val="a"/>
    <w:rsid w:val="001906E8"/>
    <w:pPr>
      <w:spacing w:before="100" w:beforeAutospacing="1" w:after="100" w:afterAutospacing="1" w:line="240" w:lineRule="auto"/>
      <w:ind w:left="-110"/>
    </w:pPr>
    <w:rPr>
      <w:rFonts w:ascii="Times New Roman" w:eastAsia="Times New Roman" w:hAnsi="Times New Roman" w:cs="Times New Roman"/>
      <w:vanish/>
      <w:sz w:val="12"/>
      <w:szCs w:val="12"/>
    </w:rPr>
  </w:style>
  <w:style w:type="paragraph" w:customStyle="1" w:styleId="cluetip-arrows12">
    <w:name w:val="cluetip-arrows12"/>
    <w:basedOn w:val="a"/>
    <w:rsid w:val="001906E8"/>
    <w:pPr>
      <w:spacing w:before="100" w:beforeAutospacing="1" w:after="100" w:afterAutospacing="1" w:line="240" w:lineRule="auto"/>
      <w:ind w:left="-110"/>
    </w:pPr>
    <w:rPr>
      <w:rFonts w:ascii="Times New Roman" w:eastAsia="Times New Roman" w:hAnsi="Times New Roman" w:cs="Times New Roman"/>
      <w:vanish/>
      <w:sz w:val="12"/>
      <w:szCs w:val="12"/>
    </w:rPr>
  </w:style>
  <w:style w:type="paragraph" w:customStyle="1" w:styleId="news-item-news-room1">
    <w:name w:val="news-item-news-room1"/>
    <w:basedOn w:val="a"/>
    <w:rsid w:val="001906E8"/>
    <w:pPr>
      <w:pBdr>
        <w:bottom w:val="single" w:sz="4" w:space="3" w:color="CCCCCC"/>
      </w:pBd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story-news-room1">
    <w:name w:val="news-story-news-room1"/>
    <w:basedOn w:val="a"/>
    <w:rsid w:val="001906E8"/>
    <w:pPr>
      <w:spacing w:before="100" w:beforeAutospacing="1" w:after="100" w:afterAutospacing="1" w:line="264" w:lineRule="atLeast"/>
    </w:pPr>
    <w:rPr>
      <w:rFonts w:ascii="Times New Roman" w:eastAsia="Times New Roman" w:hAnsi="Times New Roman" w:cs="Times New Roman"/>
      <w:sz w:val="24"/>
      <w:szCs w:val="24"/>
    </w:rPr>
  </w:style>
  <w:style w:type="paragraph" w:customStyle="1" w:styleId="title1">
    <w:name w:val="title1"/>
    <w:basedOn w:val="a"/>
    <w:rsid w:val="001906E8"/>
    <w:pPr>
      <w:spacing w:before="100" w:beforeAutospacing="1" w:after="100" w:afterAutospacing="1" w:line="240" w:lineRule="auto"/>
    </w:pPr>
    <w:rPr>
      <w:rFonts w:ascii="Times New Roman" w:eastAsia="Times New Roman" w:hAnsi="Times New Roman" w:cs="Times New Roman"/>
      <w:b/>
      <w:bCs/>
      <w:color w:val="B21E1E"/>
      <w:sz w:val="14"/>
      <w:szCs w:val="14"/>
    </w:rPr>
  </w:style>
  <w:style w:type="paragraph" w:customStyle="1" w:styleId="top1">
    <w:name w:val="top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iddle1">
    <w:name w:val="middl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bottom1">
    <w:name w:val="bottom1"/>
    <w:basedOn w:val="a"/>
    <w:rsid w:val="001906E8"/>
    <w:pPr>
      <w:spacing w:after="100" w:line="240" w:lineRule="auto"/>
    </w:pPr>
    <w:rPr>
      <w:rFonts w:ascii="Times New Roman" w:eastAsia="Times New Roman" w:hAnsi="Times New Roman" w:cs="Times New Roman"/>
      <w:sz w:val="12"/>
      <w:szCs w:val="12"/>
    </w:rPr>
  </w:style>
  <w:style w:type="paragraph" w:customStyle="1" w:styleId="top2">
    <w:name w:val="top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iddle2">
    <w:name w:val="middle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bottom2">
    <w:name w:val="bottom2"/>
    <w:basedOn w:val="a"/>
    <w:rsid w:val="001906E8"/>
    <w:pPr>
      <w:spacing w:after="100" w:line="240" w:lineRule="auto"/>
    </w:pPr>
    <w:rPr>
      <w:rFonts w:ascii="Times New Roman" w:eastAsia="Times New Roman" w:hAnsi="Times New Roman" w:cs="Times New Roman"/>
      <w:sz w:val="12"/>
      <w:szCs w:val="12"/>
    </w:rPr>
  </w:style>
  <w:style w:type="paragraph" w:customStyle="1" w:styleId="top3">
    <w:name w:val="top3"/>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iddle3">
    <w:name w:val="middle3"/>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bottom3">
    <w:name w:val="bottom3"/>
    <w:basedOn w:val="a"/>
    <w:rsid w:val="001906E8"/>
    <w:pPr>
      <w:spacing w:after="100" w:line="240" w:lineRule="auto"/>
    </w:pPr>
    <w:rPr>
      <w:rFonts w:ascii="Times New Roman" w:eastAsia="Times New Roman" w:hAnsi="Times New Roman" w:cs="Times New Roman"/>
      <w:sz w:val="12"/>
      <w:szCs w:val="12"/>
    </w:rPr>
  </w:style>
  <w:style w:type="paragraph" w:customStyle="1" w:styleId="top4">
    <w:name w:val="top4"/>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top5">
    <w:name w:val="top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top6">
    <w:name w:val="top6"/>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eadlinedate1">
    <w:name w:val="headlinedate1"/>
    <w:basedOn w:val="a"/>
    <w:rsid w:val="001906E8"/>
    <w:pPr>
      <w:spacing w:before="100" w:beforeAutospacing="1" w:after="100" w:afterAutospacing="1" w:line="240" w:lineRule="auto"/>
    </w:pPr>
    <w:rPr>
      <w:rFonts w:ascii="Times New Roman" w:eastAsia="Times New Roman" w:hAnsi="Times New Roman" w:cs="Times New Roman"/>
      <w:sz w:val="19"/>
      <w:szCs w:val="19"/>
    </w:rPr>
  </w:style>
  <w:style w:type="paragraph" w:customStyle="1" w:styleId="headlinetitle1">
    <w:name w:val="headlinetitle1"/>
    <w:basedOn w:val="a"/>
    <w:rsid w:val="001906E8"/>
    <w:pPr>
      <w:spacing w:before="100" w:beforeAutospacing="1" w:after="30" w:line="240" w:lineRule="auto"/>
    </w:pPr>
    <w:rPr>
      <w:rFonts w:ascii="Times New Roman" w:eastAsia="Times New Roman" w:hAnsi="Times New Roman" w:cs="Times New Roman"/>
    </w:rPr>
  </w:style>
  <w:style w:type="paragraph" w:customStyle="1" w:styleId="headlinedate2">
    <w:name w:val="headlinedate2"/>
    <w:basedOn w:val="a"/>
    <w:rsid w:val="001906E8"/>
    <w:pP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red1">
    <w:name w:val="red1"/>
    <w:basedOn w:val="a"/>
    <w:rsid w:val="001906E8"/>
    <w:pPr>
      <w:spacing w:before="100" w:beforeAutospacing="1" w:after="100" w:afterAutospacing="1" w:line="240" w:lineRule="auto"/>
    </w:pPr>
    <w:rPr>
      <w:rFonts w:ascii="Times New Roman" w:eastAsia="Times New Roman" w:hAnsi="Times New Roman" w:cs="Times New Roman"/>
      <w:color w:val="002C40"/>
      <w:sz w:val="12"/>
      <w:szCs w:val="12"/>
    </w:rPr>
  </w:style>
  <w:style w:type="paragraph" w:customStyle="1" w:styleId="news-room-subsection1">
    <w:name w:val="news-room-subsection1"/>
    <w:basedOn w:val="a"/>
    <w:rsid w:val="001906E8"/>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ontrols1">
    <w:name w:val="controls1"/>
    <w:basedOn w:val="a"/>
    <w:rsid w:val="001906E8"/>
    <w:pPr>
      <w:spacing w:before="50" w:after="100" w:afterAutospacing="1" w:line="240" w:lineRule="auto"/>
    </w:pPr>
    <w:rPr>
      <w:rFonts w:ascii="Times New Roman" w:eastAsia="Times New Roman" w:hAnsi="Times New Roman" w:cs="Times New Roman"/>
      <w:sz w:val="12"/>
      <w:szCs w:val="12"/>
    </w:rPr>
  </w:style>
  <w:style w:type="character" w:customStyle="1" w:styleId="baec5a81-e4d6-4674-97f3-e9220f0136c1">
    <w:name w:val="baec5a81-e4d6-4674-97f3-e9220f0136c1"/>
    <w:basedOn w:val="a0"/>
    <w:rsid w:val="001906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E96"/>
  </w:style>
  <w:style w:type="paragraph" w:styleId="1">
    <w:name w:val="heading 1"/>
    <w:basedOn w:val="a"/>
    <w:link w:val="1Char"/>
    <w:uiPriority w:val="9"/>
    <w:qFormat/>
    <w:rsid w:val="001906E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Char"/>
    <w:uiPriority w:val="9"/>
    <w:qFormat/>
    <w:rsid w:val="001906E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1906E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906E8"/>
    <w:rPr>
      <w:rFonts w:ascii="Times New Roman" w:eastAsia="Times New Roman" w:hAnsi="Times New Roman" w:cs="Times New Roman"/>
      <w:b/>
      <w:bCs/>
      <w:kern w:val="36"/>
      <w:sz w:val="48"/>
      <w:szCs w:val="48"/>
    </w:rPr>
  </w:style>
  <w:style w:type="character" w:customStyle="1" w:styleId="2Char">
    <w:name w:val="제목 2 Char"/>
    <w:basedOn w:val="a0"/>
    <w:link w:val="2"/>
    <w:uiPriority w:val="9"/>
    <w:rsid w:val="001906E8"/>
    <w:rPr>
      <w:rFonts w:ascii="Times New Roman" w:eastAsia="Times New Roman" w:hAnsi="Times New Roman" w:cs="Times New Roman"/>
      <w:b/>
      <w:bCs/>
      <w:sz w:val="36"/>
      <w:szCs w:val="36"/>
    </w:rPr>
  </w:style>
  <w:style w:type="character" w:customStyle="1" w:styleId="3Char">
    <w:name w:val="제목 3 Char"/>
    <w:basedOn w:val="a0"/>
    <w:link w:val="3"/>
    <w:uiPriority w:val="9"/>
    <w:rsid w:val="001906E8"/>
    <w:rPr>
      <w:rFonts w:ascii="Times New Roman" w:eastAsia="Times New Roman" w:hAnsi="Times New Roman" w:cs="Times New Roman"/>
      <w:b/>
      <w:bCs/>
      <w:sz w:val="27"/>
      <w:szCs w:val="27"/>
    </w:rPr>
  </w:style>
  <w:style w:type="character" w:styleId="a3">
    <w:name w:val="Hyperlink"/>
    <w:basedOn w:val="a0"/>
    <w:uiPriority w:val="99"/>
    <w:semiHidden/>
    <w:unhideWhenUsed/>
    <w:rsid w:val="001906E8"/>
    <w:rPr>
      <w:color w:val="0000FF"/>
      <w:u w:val="single"/>
    </w:rPr>
  </w:style>
  <w:style w:type="character" w:styleId="a4">
    <w:name w:val="FollowedHyperlink"/>
    <w:basedOn w:val="a0"/>
    <w:uiPriority w:val="99"/>
    <w:semiHidden/>
    <w:unhideWhenUsed/>
    <w:rsid w:val="001906E8"/>
    <w:rPr>
      <w:color w:val="800080"/>
      <w:u w:val="single"/>
    </w:rPr>
  </w:style>
  <w:style w:type="character" w:styleId="a5">
    <w:name w:val="Emphasis"/>
    <w:basedOn w:val="a0"/>
    <w:uiPriority w:val="20"/>
    <w:qFormat/>
    <w:rsid w:val="001906E8"/>
    <w:rPr>
      <w:i/>
      <w:iCs/>
    </w:rPr>
  </w:style>
  <w:style w:type="paragraph" w:styleId="HTML">
    <w:name w:val="HTML Preformatted"/>
    <w:basedOn w:val="a"/>
    <w:link w:val="HTMLChar"/>
    <w:uiPriority w:val="99"/>
    <w:semiHidden/>
    <w:unhideWhenUsed/>
    <w:rsid w:val="0019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1906E8"/>
    <w:rPr>
      <w:rFonts w:ascii="Courier New" w:eastAsia="Times New Roman" w:hAnsi="Courier New" w:cs="Courier New"/>
      <w:sz w:val="20"/>
      <w:szCs w:val="20"/>
    </w:rPr>
  </w:style>
  <w:style w:type="character" w:styleId="a6">
    <w:name w:val="Strong"/>
    <w:basedOn w:val="a0"/>
    <w:uiPriority w:val="22"/>
    <w:qFormat/>
    <w:rsid w:val="001906E8"/>
    <w:rPr>
      <w:b/>
      <w:bCs/>
    </w:rPr>
  </w:style>
  <w:style w:type="paragraph" w:styleId="a7">
    <w:name w:val="Normal (Web)"/>
    <w:basedOn w:val="a"/>
    <w:uiPriority w:val="99"/>
    <w:semiHidden/>
    <w:unhideWhenUsed/>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
    <w:name w:val="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sorry">
    <w:name w:val="sorry"/>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lear">
    <w:name w:val="clea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0">
    <w:name w:val="w-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
    <w:name w:val="w-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0">
    <w:name w:val="w-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5">
    <w:name w:val="w-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0">
    <w:name w:val="w-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5">
    <w:name w:val="w-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0">
    <w:name w:val="w-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5">
    <w:name w:val="w-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0">
    <w:name w:val="w-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5">
    <w:name w:val="w-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0">
    <w:name w:val="w-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5">
    <w:name w:val="w-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0">
    <w:name w:val="w-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5">
    <w:name w:val="w-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0">
    <w:name w:val="w-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5">
    <w:name w:val="w-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0">
    <w:name w:val="w-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5">
    <w:name w:val="w-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0">
    <w:name w:val="w-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5">
    <w:name w:val="w-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00">
    <w:name w:val="w-1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05">
    <w:name w:val="w-1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10">
    <w:name w:val="w-1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15">
    <w:name w:val="w-1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20">
    <w:name w:val="w-1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25">
    <w:name w:val="w-1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30">
    <w:name w:val="w-1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35">
    <w:name w:val="w-1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40">
    <w:name w:val="w-1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45">
    <w:name w:val="w-1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50">
    <w:name w:val="w-1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55">
    <w:name w:val="w-1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60">
    <w:name w:val="w-1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65">
    <w:name w:val="w-1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70">
    <w:name w:val="w-1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75">
    <w:name w:val="w-1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80">
    <w:name w:val="w-1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85">
    <w:name w:val="w-1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90">
    <w:name w:val="w-1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195">
    <w:name w:val="w-1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00">
    <w:name w:val="w-2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05">
    <w:name w:val="w-2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10">
    <w:name w:val="w-2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15">
    <w:name w:val="w-2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20">
    <w:name w:val="w-2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25">
    <w:name w:val="w-2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30">
    <w:name w:val="w-2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35">
    <w:name w:val="w-2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40">
    <w:name w:val="w-2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45">
    <w:name w:val="w-2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50">
    <w:name w:val="w-2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55">
    <w:name w:val="w-2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60">
    <w:name w:val="w-2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65">
    <w:name w:val="w-2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70">
    <w:name w:val="w-2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75">
    <w:name w:val="w-2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80">
    <w:name w:val="w-2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85">
    <w:name w:val="w-2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90">
    <w:name w:val="w-2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295">
    <w:name w:val="w-2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00">
    <w:name w:val="w-3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05">
    <w:name w:val="w-3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10">
    <w:name w:val="w-3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15">
    <w:name w:val="w-3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20">
    <w:name w:val="w-3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25">
    <w:name w:val="w-3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30">
    <w:name w:val="w-3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35">
    <w:name w:val="w-3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40">
    <w:name w:val="w-3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45">
    <w:name w:val="w-3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50">
    <w:name w:val="w-3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55">
    <w:name w:val="w-3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60">
    <w:name w:val="w-3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65">
    <w:name w:val="w-3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70">
    <w:name w:val="w-3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75">
    <w:name w:val="w-3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80">
    <w:name w:val="w-3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85">
    <w:name w:val="w-3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90">
    <w:name w:val="w-3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395">
    <w:name w:val="w-3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00">
    <w:name w:val="w-4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05">
    <w:name w:val="w-4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10">
    <w:name w:val="w-4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15">
    <w:name w:val="w-4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20">
    <w:name w:val="w-4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25">
    <w:name w:val="w-4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30">
    <w:name w:val="w-4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35">
    <w:name w:val="w-4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40">
    <w:name w:val="w-4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45">
    <w:name w:val="w-4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50">
    <w:name w:val="w-4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55">
    <w:name w:val="w-4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60">
    <w:name w:val="w-4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65">
    <w:name w:val="w-4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70">
    <w:name w:val="w-4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75">
    <w:name w:val="w-4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80">
    <w:name w:val="w-4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85">
    <w:name w:val="w-4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90">
    <w:name w:val="w-4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495">
    <w:name w:val="w-4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00">
    <w:name w:val="w-5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05">
    <w:name w:val="w-5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10">
    <w:name w:val="w-5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15">
    <w:name w:val="w-5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20">
    <w:name w:val="w-5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25">
    <w:name w:val="w-5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30">
    <w:name w:val="w-5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35">
    <w:name w:val="w-5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40">
    <w:name w:val="w-5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45">
    <w:name w:val="w-5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50">
    <w:name w:val="w-5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55">
    <w:name w:val="w-5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60">
    <w:name w:val="w-5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65">
    <w:name w:val="w-5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70">
    <w:name w:val="w-5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75">
    <w:name w:val="w-5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80">
    <w:name w:val="w-5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85">
    <w:name w:val="w-5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90">
    <w:name w:val="w-5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595">
    <w:name w:val="w-5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00">
    <w:name w:val="w-6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05">
    <w:name w:val="w-6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10">
    <w:name w:val="w-6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15">
    <w:name w:val="w-6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20">
    <w:name w:val="w-6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25">
    <w:name w:val="w-6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30">
    <w:name w:val="w-6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35">
    <w:name w:val="w-6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40">
    <w:name w:val="w-6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45">
    <w:name w:val="w-6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50">
    <w:name w:val="w-6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55">
    <w:name w:val="w-6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60">
    <w:name w:val="w-6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65">
    <w:name w:val="w-6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70">
    <w:name w:val="w-6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75">
    <w:name w:val="w-6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80">
    <w:name w:val="w-6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85">
    <w:name w:val="w-6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90">
    <w:name w:val="w-6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695">
    <w:name w:val="w-6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00">
    <w:name w:val="w-7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05">
    <w:name w:val="w-7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10">
    <w:name w:val="w-7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15">
    <w:name w:val="w-7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20">
    <w:name w:val="w-7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25">
    <w:name w:val="w-7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30">
    <w:name w:val="w-7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35">
    <w:name w:val="w-7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40">
    <w:name w:val="w-7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45">
    <w:name w:val="w-7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50">
    <w:name w:val="w-7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55">
    <w:name w:val="w-7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60">
    <w:name w:val="w-7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65">
    <w:name w:val="w-7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70">
    <w:name w:val="w-7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75">
    <w:name w:val="w-7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80">
    <w:name w:val="w-7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85">
    <w:name w:val="w-7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90">
    <w:name w:val="w-7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795">
    <w:name w:val="w-7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00">
    <w:name w:val="w-8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05">
    <w:name w:val="w-8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10">
    <w:name w:val="w-8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15">
    <w:name w:val="w-8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20">
    <w:name w:val="w-8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25">
    <w:name w:val="w-8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30">
    <w:name w:val="w-8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35">
    <w:name w:val="w-8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40">
    <w:name w:val="w-8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45">
    <w:name w:val="w-8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50">
    <w:name w:val="w-8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55">
    <w:name w:val="w-8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60">
    <w:name w:val="w-8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65">
    <w:name w:val="w-8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70">
    <w:name w:val="w-8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75">
    <w:name w:val="w-8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80">
    <w:name w:val="w-8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85">
    <w:name w:val="w-8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90">
    <w:name w:val="w-8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895">
    <w:name w:val="w-8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00">
    <w:name w:val="w-9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05">
    <w:name w:val="w-9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10">
    <w:name w:val="w-9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15">
    <w:name w:val="w-9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20">
    <w:name w:val="w-9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25">
    <w:name w:val="w-9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30">
    <w:name w:val="w-9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35">
    <w:name w:val="w-9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40">
    <w:name w:val="w-9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45">
    <w:name w:val="w-9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950">
    <w:name w:val="w-9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lign-center">
    <w:name w:val="align-center"/>
    <w:basedOn w:val="a"/>
    <w:rsid w:val="001906E8"/>
    <w:pPr>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b">
    <w:name w:val="b"/>
    <w:basedOn w:val="a"/>
    <w:rsid w:val="001906E8"/>
    <w:pPr>
      <w:spacing w:before="100" w:beforeAutospacing="1" w:after="100" w:afterAutospacing="1" w:line="240" w:lineRule="auto"/>
    </w:pPr>
    <w:rPr>
      <w:rFonts w:ascii="Times New Roman" w:eastAsia="Times New Roman" w:hAnsi="Times New Roman" w:cs="Times New Roman"/>
      <w:b/>
      <w:bCs/>
      <w:sz w:val="12"/>
      <w:szCs w:val="12"/>
    </w:rPr>
  </w:style>
  <w:style w:type="paragraph" w:customStyle="1" w:styleId="align-right">
    <w:name w:val="align-right"/>
    <w:basedOn w:val="a"/>
    <w:rsid w:val="001906E8"/>
    <w:pPr>
      <w:spacing w:before="100" w:beforeAutospacing="1" w:after="100" w:afterAutospacing="1" w:line="240" w:lineRule="auto"/>
      <w:jc w:val="right"/>
    </w:pPr>
    <w:rPr>
      <w:rFonts w:ascii="Times New Roman" w:eastAsia="Times New Roman" w:hAnsi="Times New Roman" w:cs="Times New Roman"/>
      <w:sz w:val="12"/>
      <w:szCs w:val="12"/>
    </w:rPr>
  </w:style>
  <w:style w:type="paragraph" w:customStyle="1" w:styleId="red">
    <w:name w:val="red"/>
    <w:basedOn w:val="a"/>
    <w:rsid w:val="001906E8"/>
    <w:pPr>
      <w:spacing w:before="100" w:beforeAutospacing="1" w:after="100" w:afterAutospacing="1" w:line="240" w:lineRule="auto"/>
    </w:pPr>
    <w:rPr>
      <w:rFonts w:ascii="Times New Roman" w:eastAsia="Times New Roman" w:hAnsi="Times New Roman" w:cs="Times New Roman"/>
      <w:color w:val="AA1E1E"/>
      <w:sz w:val="12"/>
      <w:szCs w:val="12"/>
    </w:rPr>
  </w:style>
  <w:style w:type="paragraph" w:customStyle="1" w:styleId="fs-10">
    <w:name w:val="fs-10"/>
    <w:basedOn w:val="a"/>
    <w:rsid w:val="001906E8"/>
    <w:pPr>
      <w:spacing w:before="100" w:beforeAutospacing="1" w:after="100" w:afterAutospacing="1" w:line="240" w:lineRule="auto"/>
    </w:pPr>
    <w:rPr>
      <w:rFonts w:ascii="Times New Roman" w:eastAsia="Times New Roman" w:hAnsi="Times New Roman" w:cs="Times New Roman"/>
      <w:sz w:val="10"/>
      <w:szCs w:val="10"/>
    </w:rPr>
  </w:style>
  <w:style w:type="paragraph" w:customStyle="1" w:styleId="fs-12">
    <w:name w:val="fs-1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fs-16">
    <w:name w:val="fs-16"/>
    <w:basedOn w:val="a"/>
    <w:rsid w:val="001906E8"/>
    <w:pP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lh-18">
    <w:name w:val="lh-18"/>
    <w:basedOn w:val="a"/>
    <w:rsid w:val="001906E8"/>
    <w:pPr>
      <w:spacing w:before="100" w:beforeAutospacing="1" w:after="100" w:afterAutospacing="1" w:line="180" w:lineRule="atLeast"/>
    </w:pPr>
    <w:rPr>
      <w:rFonts w:ascii="Times New Roman" w:eastAsia="Times New Roman" w:hAnsi="Times New Roman" w:cs="Times New Roman"/>
      <w:sz w:val="12"/>
      <w:szCs w:val="12"/>
    </w:rPr>
  </w:style>
  <w:style w:type="paragraph" w:customStyle="1" w:styleId="lh-25">
    <w:name w:val="lh-25"/>
    <w:basedOn w:val="a"/>
    <w:rsid w:val="001906E8"/>
    <w:pPr>
      <w:spacing w:before="100" w:beforeAutospacing="1" w:after="100" w:afterAutospacing="1" w:line="250" w:lineRule="atLeast"/>
    </w:pPr>
    <w:rPr>
      <w:rFonts w:ascii="Times New Roman" w:eastAsia="Times New Roman" w:hAnsi="Times New Roman" w:cs="Times New Roman"/>
      <w:sz w:val="12"/>
      <w:szCs w:val="12"/>
    </w:rPr>
  </w:style>
  <w:style w:type="paragraph" w:customStyle="1" w:styleId="lh-20">
    <w:name w:val="lh-20"/>
    <w:basedOn w:val="a"/>
    <w:rsid w:val="001906E8"/>
    <w:pPr>
      <w:spacing w:before="100" w:beforeAutospacing="1" w:after="100" w:afterAutospacing="1" w:line="200" w:lineRule="atLeast"/>
    </w:pPr>
    <w:rPr>
      <w:rFonts w:ascii="Times New Roman" w:eastAsia="Times New Roman" w:hAnsi="Times New Roman" w:cs="Times New Roman"/>
      <w:sz w:val="12"/>
      <w:szCs w:val="12"/>
    </w:rPr>
  </w:style>
  <w:style w:type="paragraph" w:customStyle="1" w:styleId="lh-30">
    <w:name w:val="lh-30"/>
    <w:basedOn w:val="a"/>
    <w:rsid w:val="001906E8"/>
    <w:pPr>
      <w:spacing w:before="100" w:beforeAutospacing="1" w:after="100" w:afterAutospacing="1" w:line="300" w:lineRule="atLeast"/>
    </w:pPr>
    <w:rPr>
      <w:rFonts w:ascii="Times New Roman" w:eastAsia="Times New Roman" w:hAnsi="Times New Roman" w:cs="Times New Roman"/>
      <w:sz w:val="12"/>
      <w:szCs w:val="12"/>
    </w:rPr>
  </w:style>
  <w:style w:type="paragraph" w:customStyle="1" w:styleId="i">
    <w:name w:val="i"/>
    <w:basedOn w:val="a"/>
    <w:rsid w:val="001906E8"/>
    <w:pPr>
      <w:spacing w:before="100" w:beforeAutospacing="1" w:after="100" w:afterAutospacing="1" w:line="240" w:lineRule="auto"/>
    </w:pPr>
    <w:rPr>
      <w:rFonts w:ascii="Times New Roman" w:eastAsia="Times New Roman" w:hAnsi="Times New Roman" w:cs="Times New Roman"/>
      <w:i/>
      <w:iCs/>
      <w:sz w:val="12"/>
      <w:szCs w:val="12"/>
    </w:rPr>
  </w:style>
  <w:style w:type="paragraph" w:customStyle="1" w:styleId="c-455167">
    <w:name w:val="c-455167"/>
    <w:basedOn w:val="a"/>
    <w:rsid w:val="001906E8"/>
    <w:pPr>
      <w:spacing w:before="100" w:beforeAutospacing="1" w:after="100" w:afterAutospacing="1" w:line="240" w:lineRule="auto"/>
    </w:pPr>
    <w:rPr>
      <w:rFonts w:ascii="Times New Roman" w:eastAsia="Times New Roman" w:hAnsi="Times New Roman" w:cs="Times New Roman"/>
      <w:color w:val="455167"/>
      <w:sz w:val="12"/>
      <w:szCs w:val="12"/>
    </w:rPr>
  </w:style>
  <w:style w:type="paragraph" w:customStyle="1" w:styleId="10">
    <w:name w:val="제목1"/>
    <w:basedOn w:val="a"/>
    <w:rsid w:val="001906E8"/>
    <w:pPr>
      <w:spacing w:before="100" w:beforeAutospacing="1" w:after="100" w:afterAutospacing="1" w:line="240" w:lineRule="auto"/>
    </w:pPr>
    <w:rPr>
      <w:rFonts w:ascii="Times New Roman" w:eastAsia="Times New Roman" w:hAnsi="Times New Roman" w:cs="Times New Roman"/>
      <w:b/>
      <w:bCs/>
      <w:sz w:val="14"/>
      <w:szCs w:val="14"/>
    </w:rPr>
  </w:style>
  <w:style w:type="paragraph" w:customStyle="1" w:styleId="req">
    <w:name w:val="req"/>
    <w:basedOn w:val="a"/>
    <w:rsid w:val="001906E8"/>
    <w:pPr>
      <w:spacing w:before="100" w:beforeAutospacing="1" w:after="100" w:afterAutospacing="1" w:line="240" w:lineRule="auto"/>
    </w:pPr>
    <w:rPr>
      <w:rFonts w:ascii="Times New Roman" w:eastAsia="Times New Roman" w:hAnsi="Times New Roman" w:cs="Times New Roman"/>
      <w:color w:val="FF0000"/>
      <w:sz w:val="12"/>
      <w:szCs w:val="12"/>
    </w:rPr>
  </w:style>
  <w:style w:type="paragraph" w:customStyle="1" w:styleId="pt-10">
    <w:name w:val="pt-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l-10">
    <w:name w:val="pl-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l-30">
    <w:name w:val="pl-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b-10">
    <w:name w:val="pb-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20">
    <w:name w:val="p-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15">
    <w:name w:val="p-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t-30">
    <w:name w:val="pt-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10">
    <w:name w:val="p-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20">
    <w:name w:val="pr-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bl-5">
    <w:name w:val="pbl-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5">
    <w:name w:val="p-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0">
    <w:name w:val="h-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
    <w:name w:val="h-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0">
    <w:name w:val="h-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5">
    <w:name w:val="h-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0">
    <w:name w:val="h-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5">
    <w:name w:val="h-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0">
    <w:name w:val="h-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5">
    <w:name w:val="h-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0">
    <w:name w:val="h-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5">
    <w:name w:val="h-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0">
    <w:name w:val="h-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5">
    <w:name w:val="h-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0">
    <w:name w:val="h-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5">
    <w:name w:val="h-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0">
    <w:name w:val="h-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5">
    <w:name w:val="h-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0">
    <w:name w:val="h-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5">
    <w:name w:val="h-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0">
    <w:name w:val="h-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5">
    <w:name w:val="h-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00">
    <w:name w:val="h-1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05">
    <w:name w:val="h-1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10">
    <w:name w:val="h-1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15">
    <w:name w:val="h-1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20">
    <w:name w:val="h-1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25">
    <w:name w:val="h-1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30">
    <w:name w:val="h-1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35">
    <w:name w:val="h-1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40">
    <w:name w:val="h-1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45">
    <w:name w:val="h-1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50">
    <w:name w:val="h-1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55">
    <w:name w:val="h-1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60">
    <w:name w:val="h-1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65">
    <w:name w:val="h-1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70">
    <w:name w:val="h-1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75">
    <w:name w:val="h-1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80">
    <w:name w:val="h-1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85">
    <w:name w:val="h-1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90">
    <w:name w:val="h-1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95">
    <w:name w:val="h-1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00">
    <w:name w:val="h-2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05">
    <w:name w:val="h-2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10">
    <w:name w:val="h-2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15">
    <w:name w:val="h-2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20">
    <w:name w:val="h-2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25">
    <w:name w:val="h-2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30">
    <w:name w:val="h-2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35">
    <w:name w:val="h-2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40">
    <w:name w:val="h-2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45">
    <w:name w:val="h-2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50">
    <w:name w:val="h-2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55">
    <w:name w:val="h-2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60">
    <w:name w:val="h-2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65">
    <w:name w:val="h-2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70">
    <w:name w:val="h-2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75">
    <w:name w:val="h-2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80">
    <w:name w:val="h-2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85">
    <w:name w:val="h-2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90">
    <w:name w:val="h-2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295">
    <w:name w:val="h-2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00">
    <w:name w:val="h-3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05">
    <w:name w:val="h-3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10">
    <w:name w:val="h-3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15">
    <w:name w:val="h-3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20">
    <w:name w:val="h-3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25">
    <w:name w:val="h-3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30">
    <w:name w:val="h-3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35">
    <w:name w:val="h-3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40">
    <w:name w:val="h-3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45">
    <w:name w:val="h-3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50">
    <w:name w:val="h-3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55">
    <w:name w:val="h-3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60">
    <w:name w:val="h-3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65">
    <w:name w:val="h-3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70">
    <w:name w:val="h-3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75">
    <w:name w:val="h-3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80">
    <w:name w:val="h-3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85">
    <w:name w:val="h-3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90">
    <w:name w:val="h-3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395">
    <w:name w:val="h-3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00">
    <w:name w:val="h-4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05">
    <w:name w:val="h-4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10">
    <w:name w:val="h-4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15">
    <w:name w:val="h-4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20">
    <w:name w:val="h-4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25">
    <w:name w:val="h-4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30">
    <w:name w:val="h-4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35">
    <w:name w:val="h-4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40">
    <w:name w:val="h-4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45">
    <w:name w:val="h-4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50">
    <w:name w:val="h-4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55">
    <w:name w:val="h-4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60">
    <w:name w:val="h-4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65">
    <w:name w:val="h-4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70">
    <w:name w:val="h-4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75">
    <w:name w:val="h-4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80">
    <w:name w:val="h-4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85">
    <w:name w:val="h-4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90">
    <w:name w:val="h-4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495">
    <w:name w:val="h-4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00">
    <w:name w:val="h-5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05">
    <w:name w:val="h-5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10">
    <w:name w:val="h-5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15">
    <w:name w:val="h-5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20">
    <w:name w:val="h-5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25">
    <w:name w:val="h-5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30">
    <w:name w:val="h-5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35">
    <w:name w:val="h-5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40">
    <w:name w:val="h-5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45">
    <w:name w:val="h-5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50">
    <w:name w:val="h-5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55">
    <w:name w:val="h-5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60">
    <w:name w:val="h-5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65">
    <w:name w:val="h-5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70">
    <w:name w:val="h-5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75">
    <w:name w:val="h-5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80">
    <w:name w:val="h-5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85">
    <w:name w:val="h-5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90">
    <w:name w:val="h-5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595">
    <w:name w:val="h-5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00">
    <w:name w:val="h-6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05">
    <w:name w:val="h-6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10">
    <w:name w:val="h-6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15">
    <w:name w:val="h-6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20">
    <w:name w:val="h-6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25">
    <w:name w:val="h-6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30">
    <w:name w:val="h-6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35">
    <w:name w:val="h-6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40">
    <w:name w:val="h-6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45">
    <w:name w:val="h-6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50">
    <w:name w:val="h-6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55">
    <w:name w:val="h-6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60">
    <w:name w:val="h-6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65">
    <w:name w:val="h-6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70">
    <w:name w:val="h-6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75">
    <w:name w:val="h-6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80">
    <w:name w:val="h-6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85">
    <w:name w:val="h-6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90">
    <w:name w:val="h-6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695">
    <w:name w:val="h-6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00">
    <w:name w:val="h-7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05">
    <w:name w:val="h-7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10">
    <w:name w:val="h-7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15">
    <w:name w:val="h-7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20">
    <w:name w:val="h-7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25">
    <w:name w:val="h-7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30">
    <w:name w:val="h-7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35">
    <w:name w:val="h-7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40">
    <w:name w:val="h-7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45">
    <w:name w:val="h-7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50">
    <w:name w:val="h-7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55">
    <w:name w:val="h-7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60">
    <w:name w:val="h-7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65">
    <w:name w:val="h-7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70">
    <w:name w:val="h-7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75">
    <w:name w:val="h-7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80">
    <w:name w:val="h-7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85">
    <w:name w:val="h-7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90">
    <w:name w:val="h-7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795">
    <w:name w:val="h-7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00">
    <w:name w:val="h-8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05">
    <w:name w:val="h-8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10">
    <w:name w:val="h-8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15">
    <w:name w:val="h-8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20">
    <w:name w:val="h-8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25">
    <w:name w:val="h-8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30">
    <w:name w:val="h-8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35">
    <w:name w:val="h-8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40">
    <w:name w:val="h-8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45">
    <w:name w:val="h-8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50">
    <w:name w:val="h-8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55">
    <w:name w:val="h-85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60">
    <w:name w:val="h-86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65">
    <w:name w:val="h-86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70">
    <w:name w:val="h-87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75">
    <w:name w:val="h-87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80">
    <w:name w:val="h-88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85">
    <w:name w:val="h-88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90">
    <w:name w:val="h-89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895">
    <w:name w:val="h-89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00">
    <w:name w:val="h-90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05">
    <w:name w:val="h-90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10">
    <w:name w:val="h-91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15">
    <w:name w:val="h-91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20">
    <w:name w:val="h-92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25">
    <w:name w:val="h-92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30">
    <w:name w:val="h-93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35">
    <w:name w:val="h-93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40">
    <w:name w:val="h-94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45">
    <w:name w:val="h-94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950">
    <w:name w:val="h-9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1050">
    <w:name w:val="h-1050"/>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fancybox-bg">
    <w:name w:val="fancybox-bg"/>
    <w:basedOn w:val="a"/>
    <w:rsid w:val="001906E8"/>
    <w:pPr>
      <w:spacing w:after="0" w:line="240" w:lineRule="auto"/>
    </w:pPr>
    <w:rPr>
      <w:rFonts w:ascii="Times New Roman" w:eastAsia="Times New Roman" w:hAnsi="Times New Roman" w:cs="Times New Roman"/>
      <w:sz w:val="12"/>
      <w:szCs w:val="12"/>
    </w:rPr>
  </w:style>
  <w:style w:type="paragraph" w:customStyle="1" w:styleId="fancybox-title-inside">
    <w:name w:val="fancybox-title-inside"/>
    <w:basedOn w:val="a"/>
    <w:rsid w:val="001906E8"/>
    <w:pPr>
      <w:shd w:val="clear" w:color="auto" w:fill="FFFFFF"/>
      <w:spacing w:before="100" w:beforeAutospacing="1" w:after="100" w:afterAutospacing="1" w:line="240" w:lineRule="auto"/>
      <w:jc w:val="center"/>
    </w:pPr>
    <w:rPr>
      <w:rFonts w:ascii="Times New Roman" w:eastAsia="Times New Roman" w:hAnsi="Times New Roman" w:cs="Times New Roman"/>
      <w:color w:val="333333"/>
      <w:sz w:val="12"/>
      <w:szCs w:val="12"/>
    </w:rPr>
  </w:style>
  <w:style w:type="paragraph" w:customStyle="1" w:styleId="fancybox-title-outside">
    <w:name w:val="fancybox-title-outside"/>
    <w:basedOn w:val="a"/>
    <w:rsid w:val="001906E8"/>
    <w:pPr>
      <w:spacing w:before="100" w:beforeAutospacing="1" w:after="100" w:afterAutospacing="1" w:line="240" w:lineRule="auto"/>
    </w:pPr>
    <w:rPr>
      <w:rFonts w:ascii="Times New Roman" w:eastAsia="Times New Roman" w:hAnsi="Times New Roman" w:cs="Times New Roman"/>
      <w:color w:val="FFFFFF"/>
      <w:sz w:val="12"/>
      <w:szCs w:val="12"/>
    </w:rPr>
  </w:style>
  <w:style w:type="paragraph" w:customStyle="1" w:styleId="fancybox-title-over">
    <w:name w:val="fancybox-title-over"/>
    <w:basedOn w:val="a"/>
    <w:rsid w:val="001906E8"/>
    <w:pPr>
      <w:spacing w:before="100" w:beforeAutospacing="1" w:after="100" w:afterAutospacing="1" w:line="240" w:lineRule="auto"/>
    </w:pPr>
    <w:rPr>
      <w:rFonts w:ascii="Times New Roman" w:eastAsia="Times New Roman" w:hAnsi="Times New Roman" w:cs="Times New Roman"/>
      <w:color w:val="FFFFFF"/>
      <w:sz w:val="12"/>
      <w:szCs w:val="12"/>
    </w:rPr>
  </w:style>
  <w:style w:type="paragraph" w:customStyle="1" w:styleId="fancybox-title-float">
    <w:name w:val="fancybox-title-floa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dotted-section">
    <w:name w:val="dotted-section"/>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see-all">
    <w:name w:val="see-all"/>
    <w:basedOn w:val="a"/>
    <w:rsid w:val="001906E8"/>
    <w:pPr>
      <w:pBdr>
        <w:bottom w:val="single" w:sz="4" w:space="5" w:color="FFFFFF"/>
      </w:pBdr>
      <w:spacing w:before="100" w:after="100" w:line="240" w:lineRule="auto"/>
      <w:ind w:left="50" w:right="100"/>
    </w:pPr>
    <w:rPr>
      <w:rFonts w:ascii="Times New Roman" w:eastAsia="Times New Roman" w:hAnsi="Times New Roman" w:cs="Times New Roman"/>
      <w:sz w:val="12"/>
      <w:szCs w:val="12"/>
    </w:rPr>
  </w:style>
  <w:style w:type="paragraph" w:customStyle="1" w:styleId="hide">
    <w:name w:val="hide"/>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loginhover">
    <w:name w:val="loginhover"/>
    <w:basedOn w:val="a"/>
    <w:rsid w:val="001906E8"/>
    <w:pPr>
      <w:shd w:val="clear" w:color="auto" w:fill="F2F2F2"/>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item">
    <w:name w:val="news-item"/>
    <w:basedOn w:val="a"/>
    <w:rsid w:val="001906E8"/>
    <w:pPr>
      <w:pBdr>
        <w:bottom w:val="single" w:sz="4" w:space="1" w:color="C1C1C1"/>
      </w:pBdr>
      <w:spacing w:before="100" w:beforeAutospacing="1" w:after="60" w:line="240" w:lineRule="auto"/>
    </w:pPr>
    <w:rPr>
      <w:rFonts w:ascii="Times New Roman" w:eastAsia="Times New Roman" w:hAnsi="Times New Roman" w:cs="Times New Roman"/>
      <w:sz w:val="12"/>
      <w:szCs w:val="12"/>
    </w:rPr>
  </w:style>
  <w:style w:type="paragraph" w:customStyle="1" w:styleId="news-item-news-room">
    <w:name w:val="news-item-news-room"/>
    <w:basedOn w:val="a"/>
    <w:rsid w:val="001906E8"/>
    <w:pPr>
      <w:pBdr>
        <w:bottom w:val="single" w:sz="4" w:space="3" w:color="CCCCCC"/>
      </w:pBd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sharing-icons">
    <w:name w:val="sharing-icon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thumb">
    <w:name w:val="news-thumb"/>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story">
    <w:name w:val="news-story"/>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story-news-room">
    <w:name w:val="news-story-news-room"/>
    <w:basedOn w:val="a"/>
    <w:rsid w:val="001906E8"/>
    <w:pPr>
      <w:spacing w:before="100" w:beforeAutospacing="1" w:after="100" w:afterAutospacing="1" w:line="264" w:lineRule="atLeast"/>
    </w:pPr>
    <w:rPr>
      <w:rFonts w:ascii="Times New Roman" w:eastAsia="Times New Roman" w:hAnsi="Times New Roman" w:cs="Times New Roman"/>
      <w:sz w:val="24"/>
      <w:szCs w:val="24"/>
    </w:rPr>
  </w:style>
  <w:style w:type="paragraph" w:customStyle="1" w:styleId="news-buttons">
    <w:name w:val="news-buttons"/>
    <w:basedOn w:val="a"/>
    <w:rsid w:val="001906E8"/>
    <w:pPr>
      <w:spacing w:before="100" w:beforeAutospacing="1" w:after="100" w:afterAutospacing="1" w:line="240" w:lineRule="auto"/>
      <w:ind w:left="50"/>
    </w:pPr>
    <w:rPr>
      <w:rFonts w:ascii="Times New Roman" w:eastAsia="Times New Roman" w:hAnsi="Times New Roman" w:cs="Times New Roman"/>
      <w:sz w:val="12"/>
      <w:szCs w:val="12"/>
    </w:rPr>
  </w:style>
  <w:style w:type="paragraph" w:customStyle="1" w:styleId="breadcrumb">
    <w:name w:val="breadcrumb"/>
    <w:basedOn w:val="a"/>
    <w:rsid w:val="001906E8"/>
    <w:pPr>
      <w:spacing w:after="110" w:line="240" w:lineRule="auto"/>
    </w:pPr>
    <w:rPr>
      <w:rFonts w:ascii="Times New Roman" w:eastAsia="Times New Roman" w:hAnsi="Times New Roman" w:cs="Times New Roman"/>
      <w:color w:val="808080"/>
      <w:sz w:val="11"/>
      <w:szCs w:val="11"/>
    </w:rPr>
  </w:style>
  <w:style w:type="paragraph" w:customStyle="1" w:styleId="large">
    <w:name w:val="large"/>
    <w:basedOn w:val="a"/>
    <w:rsid w:val="001906E8"/>
    <w:pPr>
      <w:spacing w:before="140" w:after="140" w:line="240" w:lineRule="auto"/>
    </w:pPr>
    <w:rPr>
      <w:rFonts w:ascii="Times New Roman" w:eastAsia="Times New Roman" w:hAnsi="Times New Roman" w:cs="Times New Roman"/>
      <w:color w:val="0071B0"/>
      <w:sz w:val="17"/>
      <w:szCs w:val="17"/>
    </w:rPr>
  </w:style>
  <w:style w:type="paragraph" w:customStyle="1" w:styleId="black-title">
    <w:name w:val="black-title"/>
    <w:basedOn w:val="a"/>
    <w:rsid w:val="001906E8"/>
    <w:pPr>
      <w:spacing w:before="100" w:beforeAutospacing="1" w:after="100" w:afterAutospacing="1" w:line="240" w:lineRule="auto"/>
    </w:pPr>
    <w:rPr>
      <w:rFonts w:ascii="Times New Roman" w:eastAsia="Times New Roman" w:hAnsi="Times New Roman" w:cs="Times New Roman"/>
      <w:b/>
      <w:bCs/>
      <w:sz w:val="14"/>
      <w:szCs w:val="14"/>
    </w:rPr>
  </w:style>
  <w:style w:type="paragraph" w:customStyle="1" w:styleId="title-date">
    <w:name w:val="title-date"/>
    <w:basedOn w:val="a"/>
    <w:rsid w:val="001906E8"/>
    <w:pPr>
      <w:spacing w:before="60" w:after="0" w:line="240" w:lineRule="auto"/>
    </w:pPr>
    <w:rPr>
      <w:rFonts w:ascii="Times New Roman" w:eastAsia="Times New Roman" w:hAnsi="Times New Roman" w:cs="Times New Roman"/>
      <w:sz w:val="12"/>
      <w:szCs w:val="12"/>
    </w:rPr>
  </w:style>
  <w:style w:type="paragraph" w:customStyle="1" w:styleId="news-see-all">
    <w:name w:val="news-see-all"/>
    <w:basedOn w:val="a"/>
    <w:rsid w:val="001906E8"/>
    <w:pPr>
      <w:pBdr>
        <w:bottom w:val="single" w:sz="4" w:space="4" w:color="FFFFFF"/>
      </w:pBdr>
      <w:spacing w:before="100" w:beforeAutospacing="1" w:after="100" w:afterAutospacing="1" w:line="240" w:lineRule="auto"/>
      <w:ind w:left="50"/>
    </w:pPr>
    <w:rPr>
      <w:rFonts w:ascii="Times New Roman" w:eastAsia="Times New Roman" w:hAnsi="Times New Roman" w:cs="Times New Roman"/>
      <w:sz w:val="12"/>
      <w:szCs w:val="12"/>
    </w:rPr>
  </w:style>
  <w:style w:type="paragraph" w:customStyle="1" w:styleId="search-it">
    <w:name w:val="search-it"/>
    <w:basedOn w:val="a"/>
    <w:rsid w:val="001906E8"/>
    <w:pPr>
      <w:spacing w:before="100" w:beforeAutospacing="1" w:after="60" w:line="240" w:lineRule="auto"/>
    </w:pPr>
    <w:rPr>
      <w:rFonts w:ascii="Times New Roman" w:eastAsia="Times New Roman" w:hAnsi="Times New Roman" w:cs="Times New Roman"/>
      <w:sz w:val="12"/>
      <w:szCs w:val="12"/>
    </w:rPr>
  </w:style>
  <w:style w:type="paragraph" w:customStyle="1" w:styleId="hidden">
    <w:name w:val="hidden"/>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unhidden">
    <w:name w:val="unhidden"/>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room-subsection">
    <w:name w:val="news-room-subsection"/>
    <w:basedOn w:val="a"/>
    <w:rsid w:val="001906E8"/>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room-subsection-selected">
    <w:name w:val="news-room-subsection-selected"/>
    <w:basedOn w:val="a"/>
    <w:rsid w:val="001906E8"/>
    <w:pPr>
      <w:shd w:val="clear" w:color="auto" w:fill="D9E8EF"/>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ub-industry">
    <w:name w:val="sub-industry"/>
    <w:basedOn w:val="a"/>
    <w:rsid w:val="001906E8"/>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gray">
    <w:name w:val="gray"/>
    <w:basedOn w:val="a"/>
    <w:rsid w:val="001906E8"/>
    <w:pPr>
      <w:spacing w:before="100" w:beforeAutospacing="1" w:after="100" w:afterAutospacing="1" w:line="240" w:lineRule="auto"/>
    </w:pPr>
    <w:rPr>
      <w:rFonts w:ascii="Times New Roman" w:eastAsia="Times New Roman" w:hAnsi="Times New Roman" w:cs="Times New Roman"/>
      <w:color w:val="808080"/>
      <w:sz w:val="12"/>
      <w:szCs w:val="12"/>
    </w:rPr>
  </w:style>
  <w:style w:type="paragraph" w:customStyle="1" w:styleId="white-bg">
    <w:name w:val="white-bg"/>
    <w:basedOn w:val="a"/>
    <w:rsid w:val="001906E8"/>
    <w:pPr>
      <w:shd w:val="clear" w:color="auto" w:fill="FFFFFF"/>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s-red">
    <w:name w:val="cs-red"/>
    <w:basedOn w:val="a"/>
    <w:rsid w:val="001906E8"/>
    <w:pPr>
      <w:spacing w:before="100" w:beforeAutospacing="1" w:after="100" w:afterAutospacing="1" w:line="240" w:lineRule="atLeast"/>
    </w:pPr>
    <w:rPr>
      <w:rFonts w:ascii="Times New Roman" w:eastAsia="Times New Roman" w:hAnsi="Times New Roman" w:cs="Times New Roman"/>
      <w:b/>
      <w:bCs/>
      <w:color w:val="B71E1E"/>
      <w:sz w:val="18"/>
      <w:szCs w:val="18"/>
    </w:rPr>
  </w:style>
  <w:style w:type="paragraph" w:customStyle="1" w:styleId="jb-col">
    <w:name w:val="jb-col"/>
    <w:basedOn w:val="a"/>
    <w:rsid w:val="001906E8"/>
    <w:pPr>
      <w:spacing w:before="160" w:after="0" w:line="240" w:lineRule="auto"/>
      <w:ind w:right="200"/>
    </w:pPr>
    <w:rPr>
      <w:rFonts w:ascii="Times New Roman" w:eastAsia="Times New Roman" w:hAnsi="Times New Roman" w:cs="Times New Roman"/>
      <w:sz w:val="12"/>
      <w:szCs w:val="12"/>
    </w:rPr>
  </w:style>
  <w:style w:type="paragraph" w:customStyle="1" w:styleId="share">
    <w:name w:val="shar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email">
    <w:name w:val="emai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inter">
    <w:name w:val="printe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df">
    <w:name w:val="pdf"/>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arge-title">
    <w:name w:val="large-title"/>
    <w:basedOn w:val="a"/>
    <w:rsid w:val="001906E8"/>
    <w:pPr>
      <w:spacing w:before="100" w:beforeAutospacing="1" w:after="100" w:afterAutospacing="1" w:line="240" w:lineRule="auto"/>
    </w:pPr>
    <w:rPr>
      <w:rFonts w:ascii="Times New Roman" w:eastAsia="Times New Roman" w:hAnsi="Times New Roman" w:cs="Times New Roman"/>
      <w:b/>
      <w:bCs/>
      <w:color w:val="0071B0"/>
      <w:sz w:val="17"/>
      <w:szCs w:val="17"/>
    </w:rPr>
  </w:style>
  <w:style w:type="paragraph" w:customStyle="1" w:styleId="formtitle">
    <w:name w:val="formtitle"/>
    <w:basedOn w:val="a"/>
    <w:rsid w:val="001906E8"/>
    <w:pPr>
      <w:pBdr>
        <w:top w:val="single" w:sz="4" w:space="0" w:color="CCCCCC"/>
      </w:pBdr>
      <w:spacing w:before="400" w:after="100" w:afterAutospacing="1" w:line="400" w:lineRule="atLeast"/>
    </w:pPr>
    <w:rPr>
      <w:rFonts w:ascii="Times New Roman" w:eastAsia="Times New Roman" w:hAnsi="Times New Roman" w:cs="Times New Roman"/>
      <w:color w:val="B21E1E"/>
      <w:sz w:val="12"/>
      <w:szCs w:val="12"/>
    </w:rPr>
  </w:style>
  <w:style w:type="paragraph" w:customStyle="1" w:styleId="map">
    <w:name w:val="ma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white-papers">
    <w:name w:val="white-papers"/>
    <w:basedOn w:val="a"/>
    <w:rsid w:val="001906E8"/>
    <w:pPr>
      <w:pBdr>
        <w:top w:val="single" w:sz="4" w:space="3" w:color="CCCCCC"/>
      </w:pBdr>
      <w:spacing w:before="100" w:after="100" w:afterAutospacing="1" w:line="240" w:lineRule="auto"/>
    </w:pPr>
    <w:rPr>
      <w:rFonts w:ascii="Times New Roman" w:eastAsia="Times New Roman" w:hAnsi="Times New Roman" w:cs="Times New Roman"/>
      <w:sz w:val="12"/>
      <w:szCs w:val="12"/>
    </w:rPr>
  </w:style>
  <w:style w:type="paragraph" w:customStyle="1" w:styleId="events">
    <w:name w:val="events"/>
    <w:basedOn w:val="a"/>
    <w:rsid w:val="001906E8"/>
    <w:pPr>
      <w:pBdr>
        <w:top w:val="single" w:sz="4" w:space="3" w:color="CCCCCC"/>
        <w:bottom w:val="single" w:sz="4" w:space="3" w:color="CCCCCC"/>
      </w:pBdr>
      <w:spacing w:before="100" w:after="100" w:afterAutospacing="1" w:line="240" w:lineRule="auto"/>
    </w:pPr>
    <w:rPr>
      <w:rFonts w:ascii="Times New Roman" w:eastAsia="Times New Roman" w:hAnsi="Times New Roman" w:cs="Times New Roman"/>
      <w:sz w:val="12"/>
      <w:szCs w:val="12"/>
    </w:rPr>
  </w:style>
  <w:style w:type="paragraph" w:customStyle="1" w:styleId="blog">
    <w:name w:val="blog"/>
    <w:basedOn w:val="a"/>
    <w:rsid w:val="001906E8"/>
    <w:pPr>
      <w:pBdr>
        <w:top w:val="single" w:sz="4" w:space="3" w:color="CCCCCC"/>
      </w:pBdr>
      <w:spacing w:before="100" w:after="100" w:afterAutospacing="1" w:line="240" w:lineRule="auto"/>
    </w:pPr>
    <w:rPr>
      <w:rFonts w:ascii="Times New Roman" w:eastAsia="Times New Roman" w:hAnsi="Times New Roman" w:cs="Times New Roman"/>
      <w:sz w:val="12"/>
      <w:szCs w:val="12"/>
    </w:rPr>
  </w:style>
  <w:style w:type="paragraph" w:customStyle="1" w:styleId="mapattachment">
    <w:name w:val="mapattachment"/>
    <w:basedOn w:val="a"/>
    <w:rsid w:val="001906E8"/>
    <w:pPr>
      <w:spacing w:before="200" w:after="100" w:afterAutospacing="1" w:line="240" w:lineRule="auto"/>
    </w:pPr>
    <w:rPr>
      <w:rFonts w:ascii="Times New Roman" w:eastAsia="Times New Roman" w:hAnsi="Times New Roman" w:cs="Times New Roman"/>
      <w:sz w:val="12"/>
      <w:szCs w:val="12"/>
    </w:rPr>
  </w:style>
  <w:style w:type="paragraph" w:customStyle="1" w:styleId="news-source">
    <w:name w:val="news-source"/>
    <w:basedOn w:val="a"/>
    <w:rsid w:val="001906E8"/>
    <w:pPr>
      <w:spacing w:before="100" w:beforeAutospacing="1" w:after="100" w:afterAutospacing="1" w:line="400" w:lineRule="atLeast"/>
    </w:pPr>
    <w:rPr>
      <w:rFonts w:ascii="Times New Roman" w:eastAsia="Times New Roman" w:hAnsi="Times New Roman" w:cs="Times New Roman"/>
      <w:color w:val="333333"/>
      <w:sz w:val="12"/>
      <w:szCs w:val="12"/>
    </w:rPr>
  </w:style>
  <w:style w:type="paragraph" w:customStyle="1" w:styleId="usregions">
    <w:name w:val="usregion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apcontainer">
    <w:name w:val="mapcontainer"/>
    <w:basedOn w:val="a"/>
    <w:rsid w:val="001906E8"/>
    <w:pPr>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ml-10">
    <w:name w:val="ml-10"/>
    <w:basedOn w:val="a"/>
    <w:rsid w:val="001906E8"/>
    <w:pPr>
      <w:spacing w:before="100" w:beforeAutospacing="1" w:after="100" w:afterAutospacing="1" w:line="240" w:lineRule="auto"/>
      <w:ind w:left="100"/>
    </w:pPr>
    <w:rPr>
      <w:rFonts w:ascii="Times New Roman" w:eastAsia="Times New Roman" w:hAnsi="Times New Roman" w:cs="Times New Roman"/>
      <w:sz w:val="12"/>
      <w:szCs w:val="12"/>
    </w:rPr>
  </w:style>
  <w:style w:type="paragraph" w:customStyle="1" w:styleId="linetop">
    <w:name w:val="linetop"/>
    <w:basedOn w:val="a"/>
    <w:rsid w:val="001906E8"/>
    <w:pPr>
      <w:pBdr>
        <w:top w:val="single" w:sz="4" w:space="5" w:color="C1C1C1"/>
      </w:pBdr>
      <w:spacing w:before="100" w:after="100" w:afterAutospacing="1" w:line="240" w:lineRule="auto"/>
    </w:pPr>
    <w:rPr>
      <w:rFonts w:ascii="Times New Roman" w:eastAsia="Times New Roman" w:hAnsi="Times New Roman" w:cs="Times New Roman"/>
      <w:sz w:val="12"/>
      <w:szCs w:val="12"/>
    </w:rPr>
  </w:style>
  <w:style w:type="paragraph" w:customStyle="1" w:styleId="screenshot">
    <w:name w:val="screenshot"/>
    <w:basedOn w:val="a"/>
    <w:rsid w:val="001906E8"/>
    <w:pPr>
      <w:spacing w:before="100" w:beforeAutospacing="1" w:after="100" w:afterAutospacing="1" w:line="240" w:lineRule="auto"/>
      <w:jc w:val="center"/>
    </w:pPr>
    <w:rPr>
      <w:rFonts w:ascii="Times New Roman" w:eastAsia="Times New Roman" w:hAnsi="Times New Roman" w:cs="Times New Roman"/>
      <w:color w:val="AA1E1E"/>
      <w:sz w:val="12"/>
      <w:szCs w:val="12"/>
    </w:rPr>
  </w:style>
  <w:style w:type="paragraph" w:customStyle="1" w:styleId="screenshotnotext">
    <w:name w:val="screenshotnotex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vtop">
    <w:name w:val="vtop"/>
    <w:basedOn w:val="a"/>
    <w:rsid w:val="001906E8"/>
    <w:pPr>
      <w:spacing w:before="100" w:beforeAutospacing="1" w:after="100" w:afterAutospacing="1" w:line="240" w:lineRule="auto"/>
      <w:textAlignment w:val="top"/>
    </w:pPr>
    <w:rPr>
      <w:rFonts w:ascii="Times New Roman" w:eastAsia="Times New Roman" w:hAnsi="Times New Roman" w:cs="Times New Roman"/>
      <w:sz w:val="12"/>
      <w:szCs w:val="12"/>
    </w:rPr>
  </w:style>
  <w:style w:type="paragraph" w:customStyle="1" w:styleId="blue">
    <w:name w:val="blue"/>
    <w:basedOn w:val="a"/>
    <w:rsid w:val="001906E8"/>
    <w:pPr>
      <w:spacing w:before="100" w:beforeAutospacing="1" w:after="100" w:afterAutospacing="1" w:line="240" w:lineRule="auto"/>
    </w:pPr>
    <w:rPr>
      <w:rFonts w:ascii="Times New Roman" w:eastAsia="Times New Roman" w:hAnsi="Times New Roman" w:cs="Times New Roman"/>
      <w:color w:val="00668C"/>
      <w:sz w:val="12"/>
      <w:szCs w:val="12"/>
    </w:rPr>
  </w:style>
  <w:style w:type="paragraph" w:customStyle="1" w:styleId="calendarcolumnfirst">
    <w:name w:val="calendarcolumnfirs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alendarcolumn">
    <w:name w:val="calendarcolumn"/>
    <w:basedOn w:val="a"/>
    <w:rsid w:val="001906E8"/>
    <w:pPr>
      <w:spacing w:before="100" w:beforeAutospacing="1" w:after="100" w:afterAutospacing="1" w:line="240" w:lineRule="auto"/>
      <w:ind w:left="150"/>
    </w:pPr>
    <w:rPr>
      <w:rFonts w:ascii="Times New Roman" w:eastAsia="Times New Roman" w:hAnsi="Times New Roman" w:cs="Times New Roman"/>
      <w:sz w:val="12"/>
      <w:szCs w:val="12"/>
    </w:rPr>
  </w:style>
  <w:style w:type="paragraph" w:customStyle="1" w:styleId="calendarcolumnlast">
    <w:name w:val="calendarcolumnlast"/>
    <w:basedOn w:val="a"/>
    <w:rsid w:val="001906E8"/>
    <w:pPr>
      <w:spacing w:before="100" w:beforeAutospacing="1" w:after="100" w:afterAutospacing="1" w:line="240" w:lineRule="auto"/>
      <w:ind w:left="150"/>
    </w:pPr>
    <w:rPr>
      <w:rFonts w:ascii="Times New Roman" w:eastAsia="Times New Roman" w:hAnsi="Times New Roman" w:cs="Times New Roman"/>
      <w:sz w:val="12"/>
      <w:szCs w:val="12"/>
    </w:rPr>
  </w:style>
  <w:style w:type="paragraph" w:customStyle="1" w:styleId="calendar">
    <w:name w:val="calenda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dflink">
    <w:name w:val="pdflink"/>
    <w:basedOn w:val="a"/>
    <w:rsid w:val="001906E8"/>
    <w:pPr>
      <w:spacing w:before="50" w:after="100" w:afterAutospacing="1" w:line="240" w:lineRule="auto"/>
    </w:pPr>
    <w:rPr>
      <w:rFonts w:ascii="Times New Roman" w:eastAsia="Times New Roman" w:hAnsi="Times New Roman" w:cs="Times New Roman"/>
      <w:sz w:val="12"/>
      <w:szCs w:val="12"/>
    </w:rPr>
  </w:style>
  <w:style w:type="paragraph" w:customStyle="1" w:styleId="newsnavigation">
    <w:name w:val="newsnavigation"/>
    <w:basedOn w:val="a"/>
    <w:rsid w:val="001906E8"/>
    <w:pPr>
      <w:spacing w:before="50" w:after="100" w:afterAutospacing="1" w:line="240" w:lineRule="auto"/>
      <w:ind w:left="270"/>
    </w:pPr>
    <w:rPr>
      <w:rFonts w:ascii="Times New Roman" w:eastAsia="Times New Roman" w:hAnsi="Times New Roman" w:cs="Times New Roman"/>
      <w:sz w:val="12"/>
      <w:szCs w:val="12"/>
    </w:rPr>
  </w:style>
  <w:style w:type="paragraph" w:customStyle="1" w:styleId="newsnavigationbottom">
    <w:name w:val="newsnavigationbottom"/>
    <w:basedOn w:val="a"/>
    <w:rsid w:val="001906E8"/>
    <w:pPr>
      <w:spacing w:before="100" w:after="100" w:line="240" w:lineRule="auto"/>
    </w:pPr>
    <w:rPr>
      <w:rFonts w:ascii="Times New Roman" w:eastAsia="Times New Roman" w:hAnsi="Times New Roman" w:cs="Times New Roman"/>
      <w:sz w:val="12"/>
      <w:szCs w:val="12"/>
    </w:rPr>
  </w:style>
  <w:style w:type="paragraph" w:customStyle="1" w:styleId="news-nav">
    <w:name w:val="news-nav"/>
    <w:basedOn w:val="a"/>
    <w:rsid w:val="001906E8"/>
    <w:pPr>
      <w:pBdr>
        <w:left w:val="single" w:sz="4" w:space="8" w:color="666666"/>
      </w:pBdr>
      <w:spacing w:before="100" w:after="140" w:line="240" w:lineRule="auto"/>
      <w:ind w:left="100"/>
    </w:pPr>
    <w:rPr>
      <w:rFonts w:ascii="Times New Roman" w:eastAsia="Times New Roman" w:hAnsi="Times New Roman" w:cs="Times New Roman"/>
      <w:sz w:val="11"/>
      <w:szCs w:val="11"/>
    </w:rPr>
  </w:style>
  <w:style w:type="paragraph" w:customStyle="1" w:styleId="previous-item">
    <w:name w:val="previous-item"/>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sub-list">
    <w:name w:val="sub-list"/>
    <w:basedOn w:val="a"/>
    <w:rsid w:val="001906E8"/>
    <w:pPr>
      <w:spacing w:before="40" w:after="100" w:afterAutospacing="1" w:line="240" w:lineRule="auto"/>
      <w:ind w:left="80"/>
    </w:pPr>
    <w:rPr>
      <w:rFonts w:ascii="Times New Roman" w:eastAsia="Times New Roman" w:hAnsi="Times New Roman" w:cs="Times New Roman"/>
      <w:sz w:val="12"/>
      <w:szCs w:val="12"/>
    </w:rPr>
  </w:style>
  <w:style w:type="paragraph" w:customStyle="1" w:styleId="col-l-title">
    <w:name w:val="col-l-tit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adiobtn">
    <w:name w:val="radiobtn"/>
    <w:basedOn w:val="a"/>
    <w:rsid w:val="001906E8"/>
    <w:pPr>
      <w:spacing w:before="100" w:beforeAutospacing="1" w:after="100" w:afterAutospacing="1" w:line="240" w:lineRule="auto"/>
    </w:pPr>
    <w:rPr>
      <w:rFonts w:ascii="Times New Roman" w:eastAsia="Times New Roman" w:hAnsi="Times New Roman" w:cs="Times New Roman"/>
      <w:color w:val="FF0000"/>
      <w:sz w:val="12"/>
      <w:szCs w:val="12"/>
    </w:rPr>
  </w:style>
  <w:style w:type="paragraph" w:customStyle="1" w:styleId="download">
    <w:name w:val="download"/>
    <w:basedOn w:val="a"/>
    <w:rsid w:val="001906E8"/>
    <w:pPr>
      <w:spacing w:before="200" w:after="0" w:line="240" w:lineRule="auto"/>
    </w:pPr>
    <w:rPr>
      <w:rFonts w:ascii="Times New Roman" w:eastAsia="Times New Roman" w:hAnsi="Times New Roman" w:cs="Times New Roman"/>
      <w:sz w:val="12"/>
      <w:szCs w:val="12"/>
    </w:rPr>
  </w:style>
  <w:style w:type="paragraph" w:customStyle="1" w:styleId="sign-up-button">
    <w:name w:val="sign-up-button"/>
    <w:basedOn w:val="a"/>
    <w:rsid w:val="001906E8"/>
    <w:pPr>
      <w:spacing w:before="100" w:beforeAutospacing="1" w:after="100" w:afterAutospacing="1" w:line="240" w:lineRule="auto"/>
      <w:ind w:left="2620"/>
    </w:pPr>
    <w:rPr>
      <w:rFonts w:ascii="Times New Roman" w:eastAsia="Times New Roman" w:hAnsi="Times New Roman" w:cs="Times New Roman"/>
      <w:sz w:val="12"/>
      <w:szCs w:val="12"/>
    </w:rPr>
  </w:style>
  <w:style w:type="paragraph" w:customStyle="1" w:styleId="sul">
    <w:name w:val="sul"/>
    <w:basedOn w:val="a"/>
    <w:rsid w:val="001906E8"/>
    <w:pPr>
      <w:spacing w:before="100" w:beforeAutospacing="1" w:after="100" w:afterAutospacing="1" w:line="240" w:lineRule="auto"/>
      <w:jc w:val="right"/>
      <w:textAlignment w:val="top"/>
    </w:pPr>
    <w:rPr>
      <w:rFonts w:ascii="Times New Roman" w:eastAsia="Times New Roman" w:hAnsi="Times New Roman" w:cs="Times New Roman"/>
      <w:sz w:val="12"/>
      <w:szCs w:val="12"/>
    </w:rPr>
  </w:style>
  <w:style w:type="paragraph" w:customStyle="1" w:styleId="sur">
    <w:name w:val="su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eg-col">
    <w:name w:val="reg-col"/>
    <w:basedOn w:val="a"/>
    <w:rsid w:val="001906E8"/>
    <w:pPr>
      <w:spacing w:before="250" w:after="0" w:line="240" w:lineRule="auto"/>
      <w:ind w:right="170"/>
    </w:pPr>
    <w:rPr>
      <w:rFonts w:ascii="Times New Roman" w:eastAsia="Times New Roman" w:hAnsi="Times New Roman" w:cs="Times New Roman"/>
      <w:sz w:val="12"/>
      <w:szCs w:val="12"/>
    </w:rPr>
  </w:style>
  <w:style w:type="paragraph" w:customStyle="1" w:styleId="reg-t">
    <w:name w:val="reg-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eg-m">
    <w:name w:val="reg-m"/>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eg-b">
    <w:name w:val="reg-b"/>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eg-link">
    <w:name w:val="reg-link"/>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hoose-location">
    <w:name w:val="choose-location"/>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l-20">
    <w:name w:val="ml-20"/>
    <w:basedOn w:val="a"/>
    <w:rsid w:val="001906E8"/>
    <w:pPr>
      <w:spacing w:before="100" w:beforeAutospacing="1" w:after="100" w:afterAutospacing="1" w:line="240" w:lineRule="auto"/>
      <w:ind w:left="200"/>
    </w:pPr>
    <w:rPr>
      <w:rFonts w:ascii="Times New Roman" w:eastAsia="Times New Roman" w:hAnsi="Times New Roman" w:cs="Times New Roman"/>
      <w:sz w:val="12"/>
      <w:szCs w:val="12"/>
    </w:rPr>
  </w:style>
  <w:style w:type="paragraph" w:customStyle="1" w:styleId="cluetip-arrows">
    <w:name w:val="cluetip-arrows"/>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cluetip-rounded">
    <w:name w:val="cluetip-rounded"/>
    <w:basedOn w:val="a"/>
    <w:rsid w:val="001906E8"/>
    <w:pPr>
      <w:spacing w:before="100" w:after="100" w:afterAutospacing="1" w:line="240" w:lineRule="auto"/>
      <w:ind w:left="120"/>
    </w:pPr>
    <w:rPr>
      <w:rFonts w:ascii="Times New Roman" w:eastAsia="Times New Roman" w:hAnsi="Times New Roman" w:cs="Times New Roman"/>
      <w:sz w:val="12"/>
      <w:szCs w:val="12"/>
    </w:rPr>
  </w:style>
  <w:style w:type="paragraph" w:customStyle="1" w:styleId="cstitle">
    <w:name w:val="cstitle"/>
    <w:basedOn w:val="a"/>
    <w:rsid w:val="001906E8"/>
    <w:pPr>
      <w:spacing w:before="100" w:beforeAutospacing="1" w:after="100" w:afterAutospacing="1" w:line="240" w:lineRule="auto"/>
      <w:jc w:val="center"/>
    </w:pPr>
    <w:rPr>
      <w:rFonts w:ascii="Times New Roman" w:eastAsia="Times New Roman" w:hAnsi="Times New Roman" w:cs="Times New Roman"/>
      <w:b/>
      <w:bCs/>
      <w:color w:val="CC0000"/>
      <w:sz w:val="14"/>
      <w:szCs w:val="14"/>
    </w:rPr>
  </w:style>
  <w:style w:type="paragraph" w:customStyle="1" w:styleId="cstop">
    <w:name w:val="csto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sbottom">
    <w:name w:val="csbottom"/>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smiddle">
    <w:name w:val="csmidd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item-thumb">
    <w:name w:val="item-thumb"/>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ager">
    <w:name w:val="pager"/>
    <w:basedOn w:val="a"/>
    <w:rsid w:val="001906E8"/>
    <w:pPr>
      <w:spacing w:before="100" w:after="100" w:afterAutospacing="1" w:line="250" w:lineRule="atLeast"/>
    </w:pPr>
    <w:rPr>
      <w:rFonts w:ascii="Times New Roman" w:eastAsia="Times New Roman" w:hAnsi="Times New Roman" w:cs="Times New Roman"/>
      <w:b/>
      <w:bCs/>
      <w:color w:val="002C40"/>
    </w:rPr>
  </w:style>
  <w:style w:type="paragraph" w:customStyle="1" w:styleId="pagerstatus">
    <w:name w:val="pagerstatu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agerlinks">
    <w:name w:val="pagerlinks"/>
    <w:basedOn w:val="a"/>
    <w:rsid w:val="001906E8"/>
    <w:pPr>
      <w:spacing w:before="100" w:beforeAutospacing="1" w:after="100" w:afterAutospacing="1" w:line="240" w:lineRule="auto"/>
      <w:jc w:val="right"/>
    </w:pPr>
    <w:rPr>
      <w:rFonts w:ascii="Times New Roman" w:eastAsia="Times New Roman" w:hAnsi="Times New Roman" w:cs="Times New Roman"/>
      <w:sz w:val="12"/>
      <w:szCs w:val="12"/>
    </w:rPr>
  </w:style>
  <w:style w:type="paragraph" w:customStyle="1" w:styleId="current">
    <w:name w:val="current"/>
    <w:basedOn w:val="a"/>
    <w:rsid w:val="001906E8"/>
    <w:pPr>
      <w:spacing w:before="100" w:beforeAutospacing="1" w:after="100" w:afterAutospacing="1" w:line="240" w:lineRule="auto"/>
    </w:pPr>
    <w:rPr>
      <w:rFonts w:ascii="Times New Roman" w:eastAsia="Times New Roman" w:hAnsi="Times New Roman" w:cs="Times New Roman"/>
      <w:b/>
      <w:bCs/>
      <w:color w:val="002C40"/>
      <w:sz w:val="12"/>
      <w:szCs w:val="12"/>
    </w:rPr>
  </w:style>
  <w:style w:type="paragraph" w:customStyle="1" w:styleId="promos">
    <w:name w:val="promos"/>
    <w:basedOn w:val="a"/>
    <w:rsid w:val="001906E8"/>
    <w:pPr>
      <w:spacing w:before="100" w:after="100" w:afterAutospacing="1" w:line="240" w:lineRule="auto"/>
    </w:pPr>
    <w:rPr>
      <w:rFonts w:ascii="Times New Roman" w:eastAsia="Times New Roman" w:hAnsi="Times New Roman" w:cs="Times New Roman"/>
      <w:sz w:val="12"/>
      <w:szCs w:val="12"/>
    </w:rPr>
  </w:style>
  <w:style w:type="paragraph" w:customStyle="1" w:styleId="promo-gray-top">
    <w:name w:val="promo-gray-to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omo-gray-middle">
    <w:name w:val="promo-gray-midd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omo-gray-bottom">
    <w:name w:val="promo-gray-bottom"/>
    <w:basedOn w:val="a"/>
    <w:rsid w:val="001906E8"/>
    <w:pPr>
      <w:spacing w:after="100" w:line="240" w:lineRule="auto"/>
    </w:pPr>
    <w:rPr>
      <w:rFonts w:ascii="Times New Roman" w:eastAsia="Times New Roman" w:hAnsi="Times New Roman" w:cs="Times New Roman"/>
      <w:sz w:val="12"/>
      <w:szCs w:val="12"/>
    </w:rPr>
  </w:style>
  <w:style w:type="paragraph" w:customStyle="1" w:styleId="promo-white-top">
    <w:name w:val="promo-white-to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omo-white-middle">
    <w:name w:val="promo-white-midd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omo-white-bottom">
    <w:name w:val="promo-white-bottom"/>
    <w:basedOn w:val="a"/>
    <w:rsid w:val="001906E8"/>
    <w:pPr>
      <w:spacing w:after="100" w:line="240" w:lineRule="auto"/>
    </w:pPr>
    <w:rPr>
      <w:rFonts w:ascii="Times New Roman" w:eastAsia="Times New Roman" w:hAnsi="Times New Roman" w:cs="Times New Roman"/>
      <w:sz w:val="12"/>
      <w:szCs w:val="12"/>
    </w:rPr>
  </w:style>
  <w:style w:type="paragraph" w:customStyle="1" w:styleId="promo-red-top">
    <w:name w:val="promo-red-to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omo-red-middle">
    <w:name w:val="promo-red-midd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romo-red-bottom">
    <w:name w:val="promo-red-bottom"/>
    <w:basedOn w:val="a"/>
    <w:rsid w:val="001906E8"/>
    <w:pPr>
      <w:spacing w:after="100" w:line="240" w:lineRule="auto"/>
    </w:pPr>
    <w:rPr>
      <w:rFonts w:ascii="Times New Roman" w:eastAsia="Times New Roman" w:hAnsi="Times New Roman" w:cs="Times New Roman"/>
      <w:sz w:val="12"/>
      <w:szCs w:val="12"/>
    </w:rPr>
  </w:style>
  <w:style w:type="paragraph" w:customStyle="1" w:styleId="ecitems">
    <w:name w:val="ecitems"/>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menudrop">
    <w:name w:val="menudro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ain">
    <w:name w:val="main"/>
    <w:basedOn w:val="a"/>
    <w:rsid w:val="001906E8"/>
    <w:pPr>
      <w:spacing w:before="100" w:after="0" w:line="240" w:lineRule="auto"/>
    </w:pPr>
    <w:rPr>
      <w:rFonts w:ascii="Times New Roman" w:eastAsia="Times New Roman" w:hAnsi="Times New Roman" w:cs="Times New Roman"/>
      <w:sz w:val="12"/>
      <w:szCs w:val="12"/>
    </w:rPr>
  </w:style>
  <w:style w:type="paragraph" w:customStyle="1" w:styleId="headlineonlylist">
    <w:name w:val="headlineonlylis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btitlecontainer">
    <w:name w:val="rbtitlecontainer"/>
    <w:basedOn w:val="a"/>
    <w:rsid w:val="001906E8"/>
    <w:pPr>
      <w:spacing w:before="100" w:beforeAutospacing="1" w:after="100" w:afterAutospacing="1" w:line="240" w:lineRule="auto"/>
      <w:ind w:right="50"/>
    </w:pPr>
    <w:rPr>
      <w:rFonts w:ascii="Times New Roman" w:eastAsia="Times New Roman" w:hAnsi="Times New Roman" w:cs="Times New Roman"/>
      <w:sz w:val="12"/>
      <w:szCs w:val="12"/>
    </w:rPr>
  </w:style>
  <w:style w:type="paragraph" w:customStyle="1" w:styleId="rbtitlecontainerfirst">
    <w:name w:val="rbtitlecontainerfirst"/>
    <w:basedOn w:val="a"/>
    <w:rsid w:val="001906E8"/>
    <w:pPr>
      <w:spacing w:before="100" w:beforeAutospacing="1" w:after="100" w:afterAutospacing="1" w:line="130" w:lineRule="atLeast"/>
    </w:pPr>
    <w:rPr>
      <w:rFonts w:ascii="Times New Roman" w:eastAsia="Times New Roman" w:hAnsi="Times New Roman" w:cs="Times New Roman"/>
      <w:sz w:val="12"/>
      <w:szCs w:val="12"/>
    </w:rPr>
  </w:style>
  <w:style w:type="paragraph" w:customStyle="1" w:styleId="mw-smartsearchresultsdescription">
    <w:name w:val="mw-smartsearchresultsdescription"/>
    <w:basedOn w:val="a"/>
    <w:rsid w:val="001906E8"/>
    <w:pPr>
      <w:spacing w:before="100" w:beforeAutospacing="1" w:after="100" w:afterAutospacing="1" w:line="336" w:lineRule="atLeast"/>
    </w:pPr>
    <w:rPr>
      <w:rFonts w:ascii="Times New Roman" w:eastAsia="Times New Roman" w:hAnsi="Times New Roman" w:cs="Times New Roman"/>
      <w:sz w:val="19"/>
      <w:szCs w:val="19"/>
    </w:rPr>
  </w:style>
  <w:style w:type="paragraph" w:customStyle="1" w:styleId="newsroom-contact">
    <w:name w:val="newsroom-contact"/>
    <w:basedOn w:val="a"/>
    <w:rsid w:val="001906E8"/>
    <w:pPr>
      <w:pBdr>
        <w:top w:val="single" w:sz="4" w:space="0" w:color="D0D2D3"/>
      </w:pBd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roomlink">
    <w:name w:val="newsroomlink"/>
    <w:basedOn w:val="a"/>
    <w:rsid w:val="001906E8"/>
    <w:pPr>
      <w:spacing w:before="50" w:after="100" w:afterAutospacing="1" w:line="240" w:lineRule="auto"/>
    </w:pPr>
    <w:rPr>
      <w:rFonts w:ascii="Times New Roman" w:eastAsia="Times New Roman" w:hAnsi="Times New Roman" w:cs="Times New Roman"/>
      <w:sz w:val="12"/>
      <w:szCs w:val="12"/>
    </w:rPr>
  </w:style>
  <w:style w:type="paragraph" w:customStyle="1" w:styleId="jb-col-title">
    <w:name w:val="jb-col-tit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container">
    <w:name w:val="jcarousel-containe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direction-rtl">
    <w:name w:val="jcarousel-direction-rt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container-horizontal">
    <w:name w:val="jcarousel-container-horizonta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clip-horizontal">
    <w:name w:val="jcarousel-clip-horizonta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item">
    <w:name w:val="jcarousel-item"/>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item-horizontal">
    <w:name w:val="jcarousel-item-horizonta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item-placeholder">
    <w:name w:val="jcarousel-item-placeholde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next-horizontal">
    <w:name w:val="jcarousel-next-horizonta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prev-horizontal">
    <w:name w:val="jcarousel-prev-horizonta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abel">
    <w:name w:val="label"/>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11">
    <w:name w:val="날짜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event">
    <w:name w:val="even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top">
    <w:name w:val="top"/>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iddle">
    <w:name w:val="midd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bottom">
    <w:name w:val="bottom"/>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eadlinedate">
    <w:name w:val="headlinedat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eadlinetitle">
    <w:name w:val="headlinetitl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query">
    <w:name w:val="query"/>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ode">
    <w:name w:val="mod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kscontent">
    <w:name w:val="ksconten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kstext">
    <w:name w:val="kstex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uthor">
    <w:name w:val="autho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img">
    <w:name w:val="img"/>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details">
    <w:name w:val="detail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topheader">
    <w:name w:val="topheader"/>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istimg">
    <w:name w:val="listimg"/>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istcontent">
    <w:name w:val="listcontent"/>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status">
    <w:name w:val="statu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ontrols">
    <w:name w:val="control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t15temail">
    <w:name w:val="at15t_email"/>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highlight">
    <w:name w:val="highlight"/>
    <w:basedOn w:val="a"/>
    <w:rsid w:val="001906E8"/>
    <w:pPr>
      <w:shd w:val="clear" w:color="auto" w:fill="F3F3F3"/>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ddress">
    <w:name w:val="address"/>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plan">
    <w:name w:val="plan"/>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reate">
    <w:name w:val="creat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nalyze">
    <w:name w:val="analyz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isten">
    <w:name w:val="listen"/>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engage">
    <w:name w:val="engage"/>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query1">
    <w:name w:val="query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ode1">
    <w:name w:val="mod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query2">
    <w:name w:val="query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ode2">
    <w:name w:val="mode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ddress1">
    <w:name w:val="address1"/>
    <w:basedOn w:val="a"/>
    <w:rsid w:val="001906E8"/>
    <w:pPr>
      <w:spacing w:before="100" w:beforeAutospacing="1" w:after="100" w:afterAutospacing="1" w:line="240" w:lineRule="auto"/>
    </w:pPr>
    <w:rPr>
      <w:rFonts w:ascii="Times New Roman" w:eastAsia="Times New Roman" w:hAnsi="Times New Roman" w:cs="Times New Roman"/>
      <w:color w:val="FFFFFF"/>
      <w:sz w:val="12"/>
      <w:szCs w:val="12"/>
    </w:rPr>
  </w:style>
  <w:style w:type="paragraph" w:customStyle="1" w:styleId="l1">
    <w:name w:val="l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b-col-title1">
    <w:name w:val="jb-col-title1"/>
    <w:basedOn w:val="a"/>
    <w:rsid w:val="001906E8"/>
    <w:pPr>
      <w:spacing w:after="0" w:line="240" w:lineRule="auto"/>
    </w:pPr>
    <w:rPr>
      <w:rFonts w:ascii="Times New Roman" w:eastAsia="Times New Roman" w:hAnsi="Times New Roman" w:cs="Times New Roman"/>
      <w:color w:val="006694"/>
      <w:sz w:val="12"/>
      <w:szCs w:val="12"/>
    </w:rPr>
  </w:style>
  <w:style w:type="paragraph" w:customStyle="1" w:styleId="jcarousel-container1">
    <w:name w:val="jcarousel-container1"/>
    <w:basedOn w:val="a"/>
    <w:rsid w:val="001906E8"/>
    <w:pPr>
      <w:spacing w:before="100" w:beforeAutospacing="1" w:after="100" w:afterAutospacing="1" w:line="240" w:lineRule="auto"/>
      <w:ind w:left="200"/>
    </w:pPr>
    <w:rPr>
      <w:rFonts w:ascii="Times New Roman" w:eastAsia="Times New Roman" w:hAnsi="Times New Roman" w:cs="Times New Roman"/>
      <w:sz w:val="12"/>
      <w:szCs w:val="12"/>
    </w:rPr>
  </w:style>
  <w:style w:type="paragraph" w:customStyle="1" w:styleId="jcarousel-direction-rtl1">
    <w:name w:val="jcarousel-direction-rtl1"/>
    <w:basedOn w:val="a"/>
    <w:rsid w:val="001906E8"/>
    <w:pPr>
      <w:bidi/>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container-horizontal1">
    <w:name w:val="jcarousel-container-horizontal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clip-horizontal1">
    <w:name w:val="jcarousel-clip-horizontal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item1">
    <w:name w:val="jcarousel-item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item-horizontal1">
    <w:name w:val="jcarousel-item-horizontal1"/>
    <w:basedOn w:val="a"/>
    <w:rsid w:val="001906E8"/>
    <w:pPr>
      <w:spacing w:before="100" w:beforeAutospacing="1" w:after="100" w:afterAutospacing="1" w:line="240" w:lineRule="auto"/>
      <w:ind w:right="100"/>
    </w:pPr>
    <w:rPr>
      <w:rFonts w:ascii="Times New Roman" w:eastAsia="Times New Roman" w:hAnsi="Times New Roman" w:cs="Times New Roman"/>
      <w:sz w:val="12"/>
      <w:szCs w:val="12"/>
    </w:rPr>
  </w:style>
  <w:style w:type="paragraph" w:customStyle="1" w:styleId="jcarousel-item-horizontal2">
    <w:name w:val="jcarousel-item-horizontal2"/>
    <w:basedOn w:val="a"/>
    <w:rsid w:val="001906E8"/>
    <w:pPr>
      <w:spacing w:before="100" w:beforeAutospacing="1" w:after="100" w:afterAutospacing="1" w:line="240" w:lineRule="auto"/>
      <w:ind w:left="100"/>
    </w:pPr>
    <w:rPr>
      <w:rFonts w:ascii="Times New Roman" w:eastAsia="Times New Roman" w:hAnsi="Times New Roman" w:cs="Times New Roman"/>
      <w:sz w:val="12"/>
      <w:szCs w:val="12"/>
    </w:rPr>
  </w:style>
  <w:style w:type="paragraph" w:customStyle="1" w:styleId="jcarousel-item-placeholder1">
    <w:name w:val="jcarousel-item-placeholder1"/>
    <w:basedOn w:val="a"/>
    <w:rsid w:val="001906E8"/>
    <w:pPr>
      <w:shd w:val="clear" w:color="auto" w:fill="FFFFFF"/>
      <w:spacing w:before="100" w:beforeAutospacing="1" w:after="100" w:afterAutospacing="1" w:line="240" w:lineRule="auto"/>
    </w:pPr>
    <w:rPr>
      <w:rFonts w:ascii="Times New Roman" w:eastAsia="Times New Roman" w:hAnsi="Times New Roman" w:cs="Times New Roman"/>
      <w:color w:val="000000"/>
      <w:sz w:val="12"/>
      <w:szCs w:val="12"/>
    </w:rPr>
  </w:style>
  <w:style w:type="paragraph" w:customStyle="1" w:styleId="jcarousel-next-horizontal1">
    <w:name w:val="jcarousel-next-horizontal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next-horizontal2">
    <w:name w:val="jcarousel-next-horizontal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prev-horizontal1">
    <w:name w:val="jcarousel-prev-horizontal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jcarousel-prev-horizontal2">
    <w:name w:val="jcarousel-prev-horizontal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abel1">
    <w:name w:val="label1"/>
    <w:basedOn w:val="a"/>
    <w:rsid w:val="001906E8"/>
    <w:pPr>
      <w:spacing w:before="100" w:beforeAutospacing="1" w:after="100" w:afterAutospacing="1" w:line="240" w:lineRule="auto"/>
      <w:jc w:val="right"/>
    </w:pPr>
    <w:rPr>
      <w:rFonts w:ascii="Times New Roman" w:eastAsia="Times New Roman" w:hAnsi="Times New Roman" w:cs="Times New Roman"/>
      <w:color w:val="666666"/>
      <w:sz w:val="12"/>
      <w:szCs w:val="12"/>
    </w:rPr>
  </w:style>
  <w:style w:type="paragraph" w:customStyle="1" w:styleId="kscontent1">
    <w:name w:val="kscontent1"/>
    <w:basedOn w:val="a"/>
    <w:rsid w:val="001906E8"/>
    <w:pPr>
      <w:spacing w:before="100" w:after="100" w:afterAutospacing="1" w:line="240" w:lineRule="auto"/>
    </w:pPr>
    <w:rPr>
      <w:rFonts w:ascii="Times New Roman" w:eastAsia="Times New Roman" w:hAnsi="Times New Roman" w:cs="Times New Roman"/>
      <w:sz w:val="12"/>
      <w:szCs w:val="12"/>
    </w:rPr>
  </w:style>
  <w:style w:type="paragraph" w:customStyle="1" w:styleId="kstext1">
    <w:name w:val="kstext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uthor1">
    <w:name w:val="author1"/>
    <w:basedOn w:val="a"/>
    <w:rsid w:val="001906E8"/>
    <w:pPr>
      <w:spacing w:before="100" w:beforeAutospacing="1" w:after="100" w:afterAutospacing="1" w:line="300" w:lineRule="atLeast"/>
    </w:pPr>
    <w:rPr>
      <w:rFonts w:ascii="Times New Roman" w:eastAsia="Times New Roman" w:hAnsi="Times New Roman" w:cs="Times New Roman"/>
      <w:sz w:val="12"/>
      <w:szCs w:val="12"/>
    </w:rPr>
  </w:style>
  <w:style w:type="paragraph" w:customStyle="1" w:styleId="img1">
    <w:name w:val="img1"/>
    <w:basedOn w:val="a"/>
    <w:rsid w:val="001906E8"/>
    <w:pPr>
      <w:spacing w:before="100" w:beforeAutospacing="1" w:after="100" w:afterAutospacing="1" w:line="240" w:lineRule="auto"/>
      <w:ind w:left="200"/>
    </w:pPr>
    <w:rPr>
      <w:rFonts w:ascii="Times New Roman" w:eastAsia="Times New Roman" w:hAnsi="Times New Roman" w:cs="Times New Roman"/>
      <w:sz w:val="12"/>
      <w:szCs w:val="12"/>
    </w:rPr>
  </w:style>
  <w:style w:type="paragraph" w:customStyle="1" w:styleId="details1">
    <w:name w:val="details1"/>
    <w:basedOn w:val="a"/>
    <w:rsid w:val="001906E8"/>
    <w:pPr>
      <w:spacing w:before="100" w:beforeAutospacing="1" w:after="100" w:line="240" w:lineRule="auto"/>
    </w:pPr>
    <w:rPr>
      <w:rFonts w:ascii="Times New Roman" w:eastAsia="Times New Roman" w:hAnsi="Times New Roman" w:cs="Times New Roman"/>
      <w:sz w:val="12"/>
      <w:szCs w:val="12"/>
    </w:rPr>
  </w:style>
  <w:style w:type="paragraph" w:customStyle="1" w:styleId="img2">
    <w:name w:val="img2"/>
    <w:basedOn w:val="a"/>
    <w:rsid w:val="001906E8"/>
    <w:pPr>
      <w:spacing w:before="50" w:after="100" w:afterAutospacing="1" w:line="240" w:lineRule="auto"/>
    </w:pPr>
    <w:rPr>
      <w:rFonts w:ascii="Times New Roman" w:eastAsia="Times New Roman" w:hAnsi="Times New Roman" w:cs="Times New Roman"/>
      <w:sz w:val="12"/>
      <w:szCs w:val="12"/>
    </w:rPr>
  </w:style>
  <w:style w:type="paragraph" w:customStyle="1" w:styleId="topheader1">
    <w:name w:val="topheader1"/>
    <w:basedOn w:val="a"/>
    <w:rsid w:val="001906E8"/>
    <w:pPr>
      <w:pBdr>
        <w:bottom w:val="single" w:sz="4" w:space="5" w:color="CCCCCC"/>
      </w:pBdr>
      <w:spacing w:before="100" w:beforeAutospacing="1" w:after="100" w:afterAutospacing="1" w:line="240" w:lineRule="auto"/>
    </w:pPr>
    <w:rPr>
      <w:rFonts w:ascii="Times New Roman" w:eastAsia="Times New Roman" w:hAnsi="Times New Roman" w:cs="Times New Roman"/>
      <w:color w:val="666666"/>
      <w:sz w:val="12"/>
      <w:szCs w:val="12"/>
    </w:rPr>
  </w:style>
  <w:style w:type="paragraph" w:customStyle="1" w:styleId="listimg1">
    <w:name w:val="listimg1"/>
    <w:basedOn w:val="a"/>
    <w:rsid w:val="001906E8"/>
    <w:pPr>
      <w:spacing w:before="100" w:beforeAutospacing="1" w:after="100" w:afterAutospacing="1" w:line="240" w:lineRule="auto"/>
      <w:jc w:val="center"/>
    </w:pPr>
    <w:rPr>
      <w:rFonts w:ascii="Times New Roman" w:eastAsia="Times New Roman" w:hAnsi="Times New Roman" w:cs="Times New Roman"/>
      <w:color w:val="666666"/>
      <w:sz w:val="12"/>
      <w:szCs w:val="12"/>
    </w:rPr>
  </w:style>
  <w:style w:type="paragraph" w:customStyle="1" w:styleId="listcontent1">
    <w:name w:val="listcontent1"/>
    <w:basedOn w:val="a"/>
    <w:rsid w:val="001906E8"/>
    <w:pPr>
      <w:spacing w:before="120" w:after="100" w:afterAutospacing="1" w:line="240" w:lineRule="auto"/>
    </w:pPr>
    <w:rPr>
      <w:rFonts w:ascii="Times New Roman" w:eastAsia="Times New Roman" w:hAnsi="Times New Roman" w:cs="Times New Roman"/>
      <w:color w:val="666666"/>
      <w:sz w:val="12"/>
      <w:szCs w:val="12"/>
    </w:rPr>
  </w:style>
  <w:style w:type="paragraph" w:customStyle="1" w:styleId="details2">
    <w:name w:val="details2"/>
    <w:basedOn w:val="a"/>
    <w:rsid w:val="001906E8"/>
    <w:pPr>
      <w:spacing w:before="100" w:beforeAutospacing="1" w:after="100" w:afterAutospacing="1" w:line="240" w:lineRule="auto"/>
      <w:textAlignment w:val="top"/>
    </w:pPr>
    <w:rPr>
      <w:rFonts w:ascii="Times New Roman" w:eastAsia="Times New Roman" w:hAnsi="Times New Roman" w:cs="Times New Roman"/>
      <w:sz w:val="11"/>
      <w:szCs w:val="11"/>
    </w:rPr>
  </w:style>
  <w:style w:type="paragraph" w:customStyle="1" w:styleId="status1">
    <w:name w:val="status1"/>
    <w:basedOn w:val="a"/>
    <w:rsid w:val="001906E8"/>
    <w:pPr>
      <w:spacing w:before="100" w:beforeAutospacing="1" w:after="100" w:afterAutospacing="1" w:line="240" w:lineRule="auto"/>
    </w:pPr>
    <w:rPr>
      <w:rFonts w:ascii="Times New Roman" w:eastAsia="Times New Roman" w:hAnsi="Times New Roman" w:cs="Times New Roman"/>
      <w:sz w:val="10"/>
      <w:szCs w:val="10"/>
    </w:rPr>
  </w:style>
  <w:style w:type="paragraph" w:customStyle="1" w:styleId="details3">
    <w:name w:val="details3"/>
    <w:basedOn w:val="a"/>
    <w:rsid w:val="001906E8"/>
    <w:pPr>
      <w:spacing w:before="100" w:beforeAutospacing="1" w:after="100" w:afterAutospacing="1" w:line="240" w:lineRule="auto"/>
      <w:textAlignment w:val="top"/>
    </w:pPr>
    <w:rPr>
      <w:rFonts w:ascii="Times New Roman" w:eastAsia="Times New Roman" w:hAnsi="Times New Roman" w:cs="Times New Roman"/>
      <w:sz w:val="11"/>
      <w:szCs w:val="11"/>
    </w:rPr>
  </w:style>
  <w:style w:type="paragraph" w:customStyle="1" w:styleId="status2">
    <w:name w:val="status2"/>
    <w:basedOn w:val="a"/>
    <w:rsid w:val="001906E8"/>
    <w:pPr>
      <w:spacing w:before="100" w:beforeAutospacing="1" w:after="100" w:afterAutospacing="1" w:line="240" w:lineRule="auto"/>
      <w:jc w:val="center"/>
    </w:pPr>
    <w:rPr>
      <w:rFonts w:ascii="Times New Roman" w:eastAsia="Times New Roman" w:hAnsi="Times New Roman" w:cs="Times New Roman"/>
      <w:sz w:val="10"/>
      <w:szCs w:val="10"/>
    </w:rPr>
  </w:style>
  <w:style w:type="paragraph" w:customStyle="1" w:styleId="date1">
    <w:name w:val="dat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event1">
    <w:name w:val="event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details4">
    <w:name w:val="details4"/>
    <w:basedOn w:val="a"/>
    <w:rsid w:val="001906E8"/>
    <w:pPr>
      <w:spacing w:before="100" w:beforeAutospacing="1" w:after="100" w:afterAutospacing="1" w:line="240" w:lineRule="auto"/>
      <w:textAlignment w:val="top"/>
    </w:pPr>
    <w:rPr>
      <w:rFonts w:ascii="Times New Roman" w:eastAsia="Times New Roman" w:hAnsi="Times New Roman" w:cs="Times New Roman"/>
      <w:sz w:val="12"/>
      <w:szCs w:val="12"/>
    </w:rPr>
  </w:style>
  <w:style w:type="paragraph" w:customStyle="1" w:styleId="status3">
    <w:name w:val="status3"/>
    <w:basedOn w:val="a"/>
    <w:rsid w:val="001906E8"/>
    <w:pPr>
      <w:spacing w:before="100" w:beforeAutospacing="1" w:after="100" w:afterAutospacing="1" w:line="240" w:lineRule="auto"/>
    </w:pPr>
    <w:rPr>
      <w:rFonts w:ascii="Times New Roman" w:eastAsia="Times New Roman" w:hAnsi="Times New Roman" w:cs="Times New Roman"/>
      <w:sz w:val="10"/>
      <w:szCs w:val="10"/>
    </w:rPr>
  </w:style>
  <w:style w:type="paragraph" w:customStyle="1" w:styleId="sorry1">
    <w:name w:val="sorry1"/>
    <w:basedOn w:val="a"/>
    <w:rsid w:val="001906E8"/>
    <w:pPr>
      <w:spacing w:before="100" w:beforeAutospacing="1" w:after="100" w:afterAutospacing="1" w:line="240" w:lineRule="auto"/>
    </w:pPr>
    <w:rPr>
      <w:rFonts w:ascii="Times New Roman" w:eastAsia="Times New Roman" w:hAnsi="Times New Roman" w:cs="Times New Roman"/>
      <w:color w:val="B71E1E"/>
      <w:sz w:val="12"/>
      <w:szCs w:val="12"/>
    </w:rPr>
  </w:style>
  <w:style w:type="paragraph" w:customStyle="1" w:styleId="plan1">
    <w:name w:val="plan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reate1">
    <w:name w:val="creat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analyze1">
    <w:name w:val="analyz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listen1">
    <w:name w:val="listen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engage1">
    <w:name w:val="engag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share1">
    <w:name w:val="shar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cluetip-arrows1">
    <w:name w:val="cluetip-arrows1"/>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cluetip-arrows2">
    <w:name w:val="cluetip-arrows2"/>
    <w:basedOn w:val="a"/>
    <w:rsid w:val="001906E8"/>
    <w:pPr>
      <w:spacing w:before="100" w:beforeAutospacing="1" w:after="100" w:afterAutospacing="1" w:line="240" w:lineRule="auto"/>
      <w:ind w:right="-110"/>
    </w:pPr>
    <w:rPr>
      <w:rFonts w:ascii="Times New Roman" w:eastAsia="Times New Roman" w:hAnsi="Times New Roman" w:cs="Times New Roman"/>
      <w:vanish/>
      <w:sz w:val="12"/>
      <w:szCs w:val="12"/>
    </w:rPr>
  </w:style>
  <w:style w:type="paragraph" w:customStyle="1" w:styleId="cluetip-arrows3">
    <w:name w:val="cluetip-arrows3"/>
    <w:basedOn w:val="a"/>
    <w:rsid w:val="001906E8"/>
    <w:pPr>
      <w:spacing w:before="100" w:beforeAutospacing="1" w:after="100" w:afterAutospacing="1" w:line="240" w:lineRule="auto"/>
      <w:ind w:left="-110"/>
    </w:pPr>
    <w:rPr>
      <w:rFonts w:ascii="Times New Roman" w:eastAsia="Times New Roman" w:hAnsi="Times New Roman" w:cs="Times New Roman"/>
      <w:vanish/>
      <w:sz w:val="12"/>
      <w:szCs w:val="12"/>
    </w:rPr>
  </w:style>
  <w:style w:type="paragraph" w:customStyle="1" w:styleId="cluetip-arrows4">
    <w:name w:val="cluetip-arrows4"/>
    <w:basedOn w:val="a"/>
    <w:rsid w:val="001906E8"/>
    <w:pPr>
      <w:spacing w:before="100" w:beforeAutospacing="1" w:after="100" w:afterAutospacing="1" w:line="240" w:lineRule="auto"/>
      <w:ind w:left="-110"/>
    </w:pPr>
    <w:rPr>
      <w:rFonts w:ascii="Times New Roman" w:eastAsia="Times New Roman" w:hAnsi="Times New Roman" w:cs="Times New Roman"/>
      <w:vanish/>
      <w:sz w:val="12"/>
      <w:szCs w:val="12"/>
    </w:rPr>
  </w:style>
  <w:style w:type="paragraph" w:customStyle="1" w:styleId="cluetip-arrows5">
    <w:name w:val="cluetip-arrows5"/>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cluetip-arrows6">
    <w:name w:val="cluetip-arrows6"/>
    <w:basedOn w:val="a"/>
    <w:rsid w:val="001906E8"/>
    <w:pPr>
      <w:spacing w:before="100" w:beforeAutospacing="1" w:after="100" w:afterAutospacing="1" w:line="240" w:lineRule="auto"/>
      <w:ind w:right="-110"/>
    </w:pPr>
    <w:rPr>
      <w:rFonts w:ascii="Times New Roman" w:eastAsia="Times New Roman" w:hAnsi="Times New Roman" w:cs="Times New Roman"/>
      <w:vanish/>
      <w:sz w:val="12"/>
      <w:szCs w:val="12"/>
    </w:rPr>
  </w:style>
  <w:style w:type="paragraph" w:customStyle="1" w:styleId="cluetip-arrows7">
    <w:name w:val="cluetip-arrows7"/>
    <w:basedOn w:val="a"/>
    <w:rsid w:val="001906E8"/>
    <w:pPr>
      <w:spacing w:before="100" w:beforeAutospacing="1" w:after="100" w:afterAutospacing="1" w:line="240" w:lineRule="auto"/>
      <w:ind w:left="-110"/>
    </w:pPr>
    <w:rPr>
      <w:rFonts w:ascii="Times New Roman" w:eastAsia="Times New Roman" w:hAnsi="Times New Roman" w:cs="Times New Roman"/>
      <w:vanish/>
      <w:sz w:val="12"/>
      <w:szCs w:val="12"/>
    </w:rPr>
  </w:style>
  <w:style w:type="paragraph" w:customStyle="1" w:styleId="cluetip-arrows8">
    <w:name w:val="cluetip-arrows8"/>
    <w:basedOn w:val="a"/>
    <w:rsid w:val="001906E8"/>
    <w:pPr>
      <w:spacing w:before="100" w:beforeAutospacing="1" w:after="100" w:afterAutospacing="1" w:line="240" w:lineRule="auto"/>
      <w:ind w:left="-110"/>
    </w:pPr>
    <w:rPr>
      <w:rFonts w:ascii="Times New Roman" w:eastAsia="Times New Roman" w:hAnsi="Times New Roman" w:cs="Times New Roman"/>
      <w:vanish/>
      <w:sz w:val="12"/>
      <w:szCs w:val="12"/>
    </w:rPr>
  </w:style>
  <w:style w:type="paragraph" w:customStyle="1" w:styleId="cluetip-arrows9">
    <w:name w:val="cluetip-arrows9"/>
    <w:basedOn w:val="a"/>
    <w:rsid w:val="001906E8"/>
    <w:pPr>
      <w:spacing w:before="100" w:beforeAutospacing="1" w:after="100" w:afterAutospacing="1" w:line="240" w:lineRule="auto"/>
    </w:pPr>
    <w:rPr>
      <w:rFonts w:ascii="Times New Roman" w:eastAsia="Times New Roman" w:hAnsi="Times New Roman" w:cs="Times New Roman"/>
      <w:vanish/>
      <w:sz w:val="12"/>
      <w:szCs w:val="12"/>
    </w:rPr>
  </w:style>
  <w:style w:type="paragraph" w:customStyle="1" w:styleId="cluetip-arrows10">
    <w:name w:val="cluetip-arrows10"/>
    <w:basedOn w:val="a"/>
    <w:rsid w:val="001906E8"/>
    <w:pPr>
      <w:spacing w:before="100" w:beforeAutospacing="1" w:after="100" w:afterAutospacing="1" w:line="240" w:lineRule="auto"/>
      <w:ind w:left="120"/>
    </w:pPr>
    <w:rPr>
      <w:rFonts w:ascii="Times New Roman" w:eastAsia="Times New Roman" w:hAnsi="Times New Roman" w:cs="Times New Roman"/>
      <w:vanish/>
      <w:sz w:val="12"/>
      <w:szCs w:val="12"/>
    </w:rPr>
  </w:style>
  <w:style w:type="paragraph" w:customStyle="1" w:styleId="cluetip-arrows11">
    <w:name w:val="cluetip-arrows11"/>
    <w:basedOn w:val="a"/>
    <w:rsid w:val="001906E8"/>
    <w:pPr>
      <w:spacing w:before="100" w:beforeAutospacing="1" w:after="100" w:afterAutospacing="1" w:line="240" w:lineRule="auto"/>
      <w:ind w:left="-110"/>
    </w:pPr>
    <w:rPr>
      <w:rFonts w:ascii="Times New Roman" w:eastAsia="Times New Roman" w:hAnsi="Times New Roman" w:cs="Times New Roman"/>
      <w:vanish/>
      <w:sz w:val="12"/>
      <w:szCs w:val="12"/>
    </w:rPr>
  </w:style>
  <w:style w:type="paragraph" w:customStyle="1" w:styleId="cluetip-arrows12">
    <w:name w:val="cluetip-arrows12"/>
    <w:basedOn w:val="a"/>
    <w:rsid w:val="001906E8"/>
    <w:pPr>
      <w:spacing w:before="100" w:beforeAutospacing="1" w:after="100" w:afterAutospacing="1" w:line="240" w:lineRule="auto"/>
      <w:ind w:left="-110"/>
    </w:pPr>
    <w:rPr>
      <w:rFonts w:ascii="Times New Roman" w:eastAsia="Times New Roman" w:hAnsi="Times New Roman" w:cs="Times New Roman"/>
      <w:vanish/>
      <w:sz w:val="12"/>
      <w:szCs w:val="12"/>
    </w:rPr>
  </w:style>
  <w:style w:type="paragraph" w:customStyle="1" w:styleId="news-item-news-room1">
    <w:name w:val="news-item-news-room1"/>
    <w:basedOn w:val="a"/>
    <w:rsid w:val="001906E8"/>
    <w:pPr>
      <w:pBdr>
        <w:bottom w:val="single" w:sz="4" w:space="3" w:color="CCCCCC"/>
      </w:pBd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news-story-news-room1">
    <w:name w:val="news-story-news-room1"/>
    <w:basedOn w:val="a"/>
    <w:rsid w:val="001906E8"/>
    <w:pPr>
      <w:spacing w:before="100" w:beforeAutospacing="1" w:after="100" w:afterAutospacing="1" w:line="264" w:lineRule="atLeast"/>
    </w:pPr>
    <w:rPr>
      <w:rFonts w:ascii="Times New Roman" w:eastAsia="Times New Roman" w:hAnsi="Times New Roman" w:cs="Times New Roman"/>
      <w:sz w:val="24"/>
      <w:szCs w:val="24"/>
    </w:rPr>
  </w:style>
  <w:style w:type="paragraph" w:customStyle="1" w:styleId="title1">
    <w:name w:val="title1"/>
    <w:basedOn w:val="a"/>
    <w:rsid w:val="001906E8"/>
    <w:pPr>
      <w:spacing w:before="100" w:beforeAutospacing="1" w:after="100" w:afterAutospacing="1" w:line="240" w:lineRule="auto"/>
    </w:pPr>
    <w:rPr>
      <w:rFonts w:ascii="Times New Roman" w:eastAsia="Times New Roman" w:hAnsi="Times New Roman" w:cs="Times New Roman"/>
      <w:b/>
      <w:bCs/>
      <w:color w:val="B21E1E"/>
      <w:sz w:val="14"/>
      <w:szCs w:val="14"/>
    </w:rPr>
  </w:style>
  <w:style w:type="paragraph" w:customStyle="1" w:styleId="top1">
    <w:name w:val="top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iddle1">
    <w:name w:val="middle1"/>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bottom1">
    <w:name w:val="bottom1"/>
    <w:basedOn w:val="a"/>
    <w:rsid w:val="001906E8"/>
    <w:pPr>
      <w:spacing w:after="100" w:line="240" w:lineRule="auto"/>
    </w:pPr>
    <w:rPr>
      <w:rFonts w:ascii="Times New Roman" w:eastAsia="Times New Roman" w:hAnsi="Times New Roman" w:cs="Times New Roman"/>
      <w:sz w:val="12"/>
      <w:szCs w:val="12"/>
    </w:rPr>
  </w:style>
  <w:style w:type="paragraph" w:customStyle="1" w:styleId="top2">
    <w:name w:val="top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iddle2">
    <w:name w:val="middle2"/>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bottom2">
    <w:name w:val="bottom2"/>
    <w:basedOn w:val="a"/>
    <w:rsid w:val="001906E8"/>
    <w:pPr>
      <w:spacing w:after="100" w:line="240" w:lineRule="auto"/>
    </w:pPr>
    <w:rPr>
      <w:rFonts w:ascii="Times New Roman" w:eastAsia="Times New Roman" w:hAnsi="Times New Roman" w:cs="Times New Roman"/>
      <w:sz w:val="12"/>
      <w:szCs w:val="12"/>
    </w:rPr>
  </w:style>
  <w:style w:type="paragraph" w:customStyle="1" w:styleId="top3">
    <w:name w:val="top3"/>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middle3">
    <w:name w:val="middle3"/>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bottom3">
    <w:name w:val="bottom3"/>
    <w:basedOn w:val="a"/>
    <w:rsid w:val="001906E8"/>
    <w:pPr>
      <w:spacing w:after="100" w:line="240" w:lineRule="auto"/>
    </w:pPr>
    <w:rPr>
      <w:rFonts w:ascii="Times New Roman" w:eastAsia="Times New Roman" w:hAnsi="Times New Roman" w:cs="Times New Roman"/>
      <w:sz w:val="12"/>
      <w:szCs w:val="12"/>
    </w:rPr>
  </w:style>
  <w:style w:type="paragraph" w:customStyle="1" w:styleId="top4">
    <w:name w:val="top4"/>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top5">
    <w:name w:val="top5"/>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top6">
    <w:name w:val="top6"/>
    <w:basedOn w:val="a"/>
    <w:rsid w:val="001906E8"/>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headlinedate1">
    <w:name w:val="headlinedate1"/>
    <w:basedOn w:val="a"/>
    <w:rsid w:val="001906E8"/>
    <w:pPr>
      <w:spacing w:before="100" w:beforeAutospacing="1" w:after="100" w:afterAutospacing="1" w:line="240" w:lineRule="auto"/>
    </w:pPr>
    <w:rPr>
      <w:rFonts w:ascii="Times New Roman" w:eastAsia="Times New Roman" w:hAnsi="Times New Roman" w:cs="Times New Roman"/>
      <w:sz w:val="19"/>
      <w:szCs w:val="19"/>
    </w:rPr>
  </w:style>
  <w:style w:type="paragraph" w:customStyle="1" w:styleId="headlinetitle1">
    <w:name w:val="headlinetitle1"/>
    <w:basedOn w:val="a"/>
    <w:rsid w:val="001906E8"/>
    <w:pPr>
      <w:spacing w:before="100" w:beforeAutospacing="1" w:after="30" w:line="240" w:lineRule="auto"/>
    </w:pPr>
    <w:rPr>
      <w:rFonts w:ascii="Times New Roman" w:eastAsia="Times New Roman" w:hAnsi="Times New Roman" w:cs="Times New Roman"/>
    </w:rPr>
  </w:style>
  <w:style w:type="paragraph" w:customStyle="1" w:styleId="headlinedate2">
    <w:name w:val="headlinedate2"/>
    <w:basedOn w:val="a"/>
    <w:rsid w:val="001906E8"/>
    <w:pP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red1">
    <w:name w:val="red1"/>
    <w:basedOn w:val="a"/>
    <w:rsid w:val="001906E8"/>
    <w:pPr>
      <w:spacing w:before="100" w:beforeAutospacing="1" w:after="100" w:afterAutospacing="1" w:line="240" w:lineRule="auto"/>
    </w:pPr>
    <w:rPr>
      <w:rFonts w:ascii="Times New Roman" w:eastAsia="Times New Roman" w:hAnsi="Times New Roman" w:cs="Times New Roman"/>
      <w:color w:val="002C40"/>
      <w:sz w:val="12"/>
      <w:szCs w:val="12"/>
    </w:rPr>
  </w:style>
  <w:style w:type="paragraph" w:customStyle="1" w:styleId="news-room-subsection1">
    <w:name w:val="news-room-subsection1"/>
    <w:basedOn w:val="a"/>
    <w:rsid w:val="001906E8"/>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ontrols1">
    <w:name w:val="controls1"/>
    <w:basedOn w:val="a"/>
    <w:rsid w:val="001906E8"/>
    <w:pPr>
      <w:spacing w:before="50" w:after="100" w:afterAutospacing="1" w:line="240" w:lineRule="auto"/>
    </w:pPr>
    <w:rPr>
      <w:rFonts w:ascii="Times New Roman" w:eastAsia="Times New Roman" w:hAnsi="Times New Roman" w:cs="Times New Roman"/>
      <w:sz w:val="12"/>
      <w:szCs w:val="12"/>
    </w:rPr>
  </w:style>
  <w:style w:type="character" w:customStyle="1" w:styleId="baec5a81-e4d6-4674-97f3-e9220f0136c1">
    <w:name w:val="baec5a81-e4d6-4674-97f3-e9220f0136c1"/>
    <w:basedOn w:val="a0"/>
    <w:rsid w:val="00190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4637451">
      <w:bodyDiv w:val="1"/>
      <w:marLeft w:val="0"/>
      <w:marRight w:val="0"/>
      <w:marTop w:val="0"/>
      <w:marBottom w:val="0"/>
      <w:divBdr>
        <w:top w:val="none" w:sz="0" w:space="0" w:color="auto"/>
        <w:left w:val="none" w:sz="0" w:space="0" w:color="auto"/>
        <w:bottom w:val="none" w:sz="0" w:space="0" w:color="auto"/>
        <w:right w:val="none" w:sz="0" w:space="0" w:color="auto"/>
      </w:divBdr>
      <w:divsChild>
        <w:div w:id="3174310">
          <w:marLeft w:val="0"/>
          <w:marRight w:val="0"/>
          <w:marTop w:val="100"/>
          <w:marBottom w:val="0"/>
          <w:divBdr>
            <w:top w:val="none" w:sz="0" w:space="0" w:color="auto"/>
            <w:left w:val="none" w:sz="0" w:space="0" w:color="auto"/>
            <w:bottom w:val="none" w:sz="0" w:space="0" w:color="auto"/>
            <w:right w:val="none" w:sz="0" w:space="0" w:color="auto"/>
          </w:divBdr>
          <w:divsChild>
            <w:div w:id="1002975759">
              <w:marLeft w:val="0"/>
              <w:marRight w:val="0"/>
              <w:marTop w:val="0"/>
              <w:marBottom w:val="0"/>
              <w:divBdr>
                <w:top w:val="none" w:sz="0" w:space="0" w:color="auto"/>
                <w:left w:val="none" w:sz="0" w:space="0" w:color="auto"/>
                <w:bottom w:val="none" w:sz="0" w:space="0" w:color="auto"/>
                <w:right w:val="none" w:sz="0" w:space="0" w:color="auto"/>
              </w:divBdr>
              <w:divsChild>
                <w:div w:id="2136950387">
                  <w:marLeft w:val="0"/>
                  <w:marRight w:val="0"/>
                  <w:marTop w:val="0"/>
                  <w:marBottom w:val="0"/>
                  <w:divBdr>
                    <w:top w:val="none" w:sz="0" w:space="0" w:color="auto"/>
                    <w:left w:val="none" w:sz="0" w:space="0" w:color="auto"/>
                    <w:bottom w:val="none" w:sz="0" w:space="0" w:color="auto"/>
                    <w:right w:val="none" w:sz="0" w:space="0" w:color="auto"/>
                  </w:divBdr>
                  <w:divsChild>
                    <w:div w:id="247159174">
                      <w:marLeft w:val="0"/>
                      <w:marRight w:val="0"/>
                      <w:marTop w:val="0"/>
                      <w:marBottom w:val="0"/>
                      <w:divBdr>
                        <w:top w:val="none" w:sz="0" w:space="0" w:color="auto"/>
                        <w:left w:val="none" w:sz="0" w:space="0" w:color="auto"/>
                        <w:bottom w:val="none" w:sz="0" w:space="0" w:color="auto"/>
                        <w:right w:val="none" w:sz="0" w:space="0" w:color="auto"/>
                      </w:divBdr>
                      <w:divsChild>
                        <w:div w:id="1558784270">
                          <w:marLeft w:val="0"/>
                          <w:marRight w:val="0"/>
                          <w:marTop w:val="0"/>
                          <w:marBottom w:val="0"/>
                          <w:divBdr>
                            <w:top w:val="none" w:sz="0" w:space="0" w:color="auto"/>
                            <w:left w:val="none" w:sz="0" w:space="0" w:color="auto"/>
                            <w:bottom w:val="none" w:sz="0" w:space="0" w:color="auto"/>
                            <w:right w:val="none" w:sz="0" w:space="0" w:color="auto"/>
                          </w:divBdr>
                          <w:divsChild>
                            <w:div w:id="62332852">
                              <w:marLeft w:val="0"/>
                              <w:marRight w:val="0"/>
                              <w:marTop w:val="0"/>
                              <w:marBottom w:val="0"/>
                              <w:divBdr>
                                <w:top w:val="none" w:sz="0" w:space="0" w:color="auto"/>
                                <w:left w:val="none" w:sz="0" w:space="0" w:color="auto"/>
                                <w:bottom w:val="none" w:sz="0" w:space="0" w:color="auto"/>
                                <w:right w:val="none" w:sz="0" w:space="0" w:color="auto"/>
                              </w:divBdr>
                              <w:divsChild>
                                <w:div w:id="584531752">
                                  <w:marLeft w:val="0"/>
                                  <w:marRight w:val="0"/>
                                  <w:marTop w:val="0"/>
                                  <w:marBottom w:val="0"/>
                                  <w:divBdr>
                                    <w:top w:val="none" w:sz="0" w:space="0" w:color="auto"/>
                                    <w:left w:val="none" w:sz="0" w:space="0" w:color="auto"/>
                                    <w:bottom w:val="none" w:sz="0" w:space="0" w:color="auto"/>
                                    <w:right w:val="none" w:sz="0" w:space="0" w:color="auto"/>
                                  </w:divBdr>
                                  <w:divsChild>
                                    <w:div w:id="1611937860">
                                      <w:marLeft w:val="0"/>
                                      <w:marRight w:val="0"/>
                                      <w:marTop w:val="0"/>
                                      <w:marBottom w:val="0"/>
                                      <w:divBdr>
                                        <w:top w:val="none" w:sz="0" w:space="0" w:color="auto"/>
                                        <w:left w:val="none" w:sz="0" w:space="0" w:color="auto"/>
                                        <w:bottom w:val="none" w:sz="0" w:space="0" w:color="auto"/>
                                        <w:right w:val="none" w:sz="0" w:space="0" w:color="auto"/>
                                      </w:divBdr>
                                      <w:divsChild>
                                        <w:div w:id="1685863033">
                                          <w:marLeft w:val="0"/>
                                          <w:marRight w:val="0"/>
                                          <w:marTop w:val="0"/>
                                          <w:marBottom w:val="0"/>
                                          <w:divBdr>
                                            <w:top w:val="none" w:sz="0" w:space="0" w:color="auto"/>
                                            <w:left w:val="none" w:sz="0" w:space="0" w:color="auto"/>
                                            <w:bottom w:val="none" w:sz="0" w:space="0" w:color="auto"/>
                                            <w:right w:val="none" w:sz="0" w:space="0" w:color="auto"/>
                                          </w:divBdr>
                                          <w:divsChild>
                                            <w:div w:id="856383027">
                                              <w:marLeft w:val="0"/>
                                              <w:marRight w:val="0"/>
                                              <w:marTop w:val="0"/>
                                              <w:marBottom w:val="0"/>
                                              <w:divBdr>
                                                <w:top w:val="single" w:sz="4" w:space="0" w:color="D0D2D3"/>
                                                <w:left w:val="none" w:sz="0" w:space="0" w:color="auto"/>
                                                <w:bottom w:val="none" w:sz="0" w:space="0" w:color="auto"/>
                                                <w:right w:val="none" w:sz="0" w:space="0" w:color="auto"/>
                                              </w:divBdr>
                                              <w:divsChild>
                                                <w:div w:id="1781796035">
                                                  <w:marLeft w:val="0"/>
                                                  <w:marRight w:val="0"/>
                                                  <w:marTop w:val="0"/>
                                                  <w:marBottom w:val="0"/>
                                                  <w:divBdr>
                                                    <w:top w:val="none" w:sz="0" w:space="0" w:color="auto"/>
                                                    <w:left w:val="none" w:sz="0" w:space="0" w:color="auto"/>
                                                    <w:bottom w:val="none" w:sz="0" w:space="0" w:color="auto"/>
                                                    <w:right w:val="none" w:sz="0" w:space="0" w:color="auto"/>
                                                  </w:divBdr>
                                                  <w:divsChild>
                                                    <w:div w:id="755441015">
                                                      <w:marLeft w:val="0"/>
                                                      <w:marRight w:val="0"/>
                                                      <w:marTop w:val="0"/>
                                                      <w:marBottom w:val="0"/>
                                                      <w:divBdr>
                                                        <w:top w:val="none" w:sz="0" w:space="0" w:color="auto"/>
                                                        <w:left w:val="none" w:sz="0" w:space="0" w:color="auto"/>
                                                        <w:bottom w:val="none" w:sz="0" w:space="0" w:color="auto"/>
                                                        <w:right w:val="none" w:sz="0" w:space="0" w:color="auto"/>
                                                      </w:divBdr>
                                                    </w:div>
                                                  </w:divsChild>
                                                </w:div>
                                                <w:div w:id="5092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5583836">
      <w:bodyDiv w:val="1"/>
      <w:marLeft w:val="0"/>
      <w:marRight w:val="0"/>
      <w:marTop w:val="0"/>
      <w:marBottom w:val="0"/>
      <w:divBdr>
        <w:top w:val="none" w:sz="0" w:space="0" w:color="auto"/>
        <w:left w:val="none" w:sz="0" w:space="0" w:color="auto"/>
        <w:bottom w:val="none" w:sz="0" w:space="0" w:color="auto"/>
        <w:right w:val="none" w:sz="0" w:space="0" w:color="auto"/>
      </w:divBdr>
      <w:divsChild>
        <w:div w:id="1161312162">
          <w:marLeft w:val="0"/>
          <w:marRight w:val="0"/>
          <w:marTop w:val="100"/>
          <w:marBottom w:val="0"/>
          <w:divBdr>
            <w:top w:val="none" w:sz="0" w:space="0" w:color="auto"/>
            <w:left w:val="none" w:sz="0" w:space="0" w:color="auto"/>
            <w:bottom w:val="none" w:sz="0" w:space="0" w:color="auto"/>
            <w:right w:val="none" w:sz="0" w:space="0" w:color="auto"/>
          </w:divBdr>
          <w:divsChild>
            <w:div w:id="339703227">
              <w:marLeft w:val="0"/>
              <w:marRight w:val="0"/>
              <w:marTop w:val="0"/>
              <w:marBottom w:val="0"/>
              <w:divBdr>
                <w:top w:val="none" w:sz="0" w:space="0" w:color="auto"/>
                <w:left w:val="none" w:sz="0" w:space="0" w:color="auto"/>
                <w:bottom w:val="none" w:sz="0" w:space="0" w:color="auto"/>
                <w:right w:val="none" w:sz="0" w:space="0" w:color="auto"/>
              </w:divBdr>
              <w:divsChild>
                <w:div w:id="1089892220">
                  <w:marLeft w:val="0"/>
                  <w:marRight w:val="0"/>
                  <w:marTop w:val="0"/>
                  <w:marBottom w:val="0"/>
                  <w:divBdr>
                    <w:top w:val="none" w:sz="0" w:space="0" w:color="auto"/>
                    <w:left w:val="none" w:sz="0" w:space="0" w:color="auto"/>
                    <w:bottom w:val="none" w:sz="0" w:space="0" w:color="auto"/>
                    <w:right w:val="none" w:sz="0" w:space="0" w:color="auto"/>
                  </w:divBdr>
                  <w:divsChild>
                    <w:div w:id="1548562664">
                      <w:marLeft w:val="0"/>
                      <w:marRight w:val="0"/>
                      <w:marTop w:val="0"/>
                      <w:marBottom w:val="0"/>
                      <w:divBdr>
                        <w:top w:val="none" w:sz="0" w:space="0" w:color="auto"/>
                        <w:left w:val="none" w:sz="0" w:space="0" w:color="auto"/>
                        <w:bottom w:val="none" w:sz="0" w:space="0" w:color="auto"/>
                        <w:right w:val="none" w:sz="0" w:space="0" w:color="auto"/>
                      </w:divBdr>
                      <w:divsChild>
                        <w:div w:id="750273767">
                          <w:marLeft w:val="0"/>
                          <w:marRight w:val="0"/>
                          <w:marTop w:val="0"/>
                          <w:marBottom w:val="0"/>
                          <w:divBdr>
                            <w:top w:val="none" w:sz="0" w:space="0" w:color="auto"/>
                            <w:left w:val="none" w:sz="0" w:space="0" w:color="auto"/>
                            <w:bottom w:val="none" w:sz="0" w:space="0" w:color="auto"/>
                            <w:right w:val="none" w:sz="0" w:space="0" w:color="auto"/>
                          </w:divBdr>
                          <w:divsChild>
                            <w:div w:id="1179810756">
                              <w:marLeft w:val="0"/>
                              <w:marRight w:val="0"/>
                              <w:marTop w:val="0"/>
                              <w:marBottom w:val="0"/>
                              <w:divBdr>
                                <w:top w:val="none" w:sz="0" w:space="0" w:color="auto"/>
                                <w:left w:val="none" w:sz="0" w:space="0" w:color="auto"/>
                                <w:bottom w:val="none" w:sz="0" w:space="0" w:color="auto"/>
                                <w:right w:val="none" w:sz="0" w:space="0" w:color="auto"/>
                              </w:divBdr>
                              <w:divsChild>
                                <w:div w:id="340548956">
                                  <w:marLeft w:val="0"/>
                                  <w:marRight w:val="0"/>
                                  <w:marTop w:val="0"/>
                                  <w:marBottom w:val="0"/>
                                  <w:divBdr>
                                    <w:top w:val="none" w:sz="0" w:space="0" w:color="auto"/>
                                    <w:left w:val="none" w:sz="0" w:space="0" w:color="auto"/>
                                    <w:bottom w:val="none" w:sz="0" w:space="0" w:color="auto"/>
                                    <w:right w:val="none" w:sz="0" w:space="0" w:color="auto"/>
                                  </w:divBdr>
                                  <w:divsChild>
                                    <w:div w:id="1736005171">
                                      <w:marLeft w:val="0"/>
                                      <w:marRight w:val="0"/>
                                      <w:marTop w:val="0"/>
                                      <w:marBottom w:val="0"/>
                                      <w:divBdr>
                                        <w:top w:val="none" w:sz="0" w:space="0" w:color="auto"/>
                                        <w:left w:val="none" w:sz="0" w:space="0" w:color="auto"/>
                                        <w:bottom w:val="none" w:sz="0" w:space="0" w:color="auto"/>
                                        <w:right w:val="none" w:sz="0" w:space="0" w:color="auto"/>
                                      </w:divBdr>
                                      <w:divsChild>
                                        <w:div w:id="183598932">
                                          <w:marLeft w:val="0"/>
                                          <w:marRight w:val="0"/>
                                          <w:marTop w:val="0"/>
                                          <w:marBottom w:val="0"/>
                                          <w:divBdr>
                                            <w:top w:val="none" w:sz="0" w:space="0" w:color="auto"/>
                                            <w:left w:val="none" w:sz="0" w:space="0" w:color="auto"/>
                                            <w:bottom w:val="none" w:sz="0" w:space="0" w:color="auto"/>
                                            <w:right w:val="none" w:sz="0" w:space="0" w:color="auto"/>
                                          </w:divBdr>
                                          <w:divsChild>
                                            <w:div w:id="539516938">
                                              <w:marLeft w:val="0"/>
                                              <w:marRight w:val="0"/>
                                              <w:marTop w:val="0"/>
                                              <w:marBottom w:val="0"/>
                                              <w:divBdr>
                                                <w:top w:val="single" w:sz="4" w:space="0" w:color="D0D2D3"/>
                                                <w:left w:val="none" w:sz="0" w:space="0" w:color="auto"/>
                                                <w:bottom w:val="none" w:sz="0" w:space="0" w:color="auto"/>
                                                <w:right w:val="none" w:sz="0" w:space="0" w:color="auto"/>
                                              </w:divBdr>
                                              <w:divsChild>
                                                <w:div w:id="1490947142">
                                                  <w:marLeft w:val="0"/>
                                                  <w:marRight w:val="0"/>
                                                  <w:marTop w:val="0"/>
                                                  <w:marBottom w:val="0"/>
                                                  <w:divBdr>
                                                    <w:top w:val="none" w:sz="0" w:space="0" w:color="auto"/>
                                                    <w:left w:val="none" w:sz="0" w:space="0" w:color="auto"/>
                                                    <w:bottom w:val="none" w:sz="0" w:space="0" w:color="auto"/>
                                                    <w:right w:val="none" w:sz="0" w:space="0" w:color="auto"/>
                                                  </w:divBdr>
                                                  <w:divsChild>
                                                    <w:div w:id="678312920">
                                                      <w:marLeft w:val="0"/>
                                                      <w:marRight w:val="0"/>
                                                      <w:marTop w:val="0"/>
                                                      <w:marBottom w:val="0"/>
                                                      <w:divBdr>
                                                        <w:top w:val="none" w:sz="0" w:space="0" w:color="auto"/>
                                                        <w:left w:val="none" w:sz="0" w:space="0" w:color="auto"/>
                                                        <w:bottom w:val="none" w:sz="0" w:space="0" w:color="auto"/>
                                                        <w:right w:val="none" w:sz="0" w:space="0" w:color="auto"/>
                                                      </w:divBdr>
                                                    </w:div>
                                                  </w:divsChild>
                                                </w:div>
                                                <w:div w:id="56645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mo.com/investorrelations" TargetMode="External"/><Relationship Id="rId13" Type="http://schemas.openxmlformats.org/officeDocument/2006/relationships/hyperlink" Target="http://www.sec.gov" TargetMode="External"/><Relationship Id="rId18" Type="http://schemas.openxmlformats.org/officeDocument/2006/relationships/hyperlink" Target="mailto:service@computershare.com" TargetMode="External"/><Relationship Id="rId26" Type="http://schemas.openxmlformats.org/officeDocument/2006/relationships/hyperlink" Target="mailto:corp.secretary@bmo.com" TargetMode="External"/><Relationship Id="rId3" Type="http://schemas.microsoft.com/office/2007/relationships/stylesWithEffects" Target="stylesWithEffects.xml"/><Relationship Id="rId21" Type="http://schemas.openxmlformats.org/officeDocument/2006/relationships/hyperlink" Target="mailto:ralph.marranca@bmo.com" TargetMode="External"/><Relationship Id="rId7" Type="http://schemas.openxmlformats.org/officeDocument/2006/relationships/hyperlink" Target="http://marketwire.com/news_room/stock?ticker=BMO" TargetMode="External"/><Relationship Id="rId12" Type="http://schemas.openxmlformats.org/officeDocument/2006/relationships/hyperlink" Target="http://www.sedar.com" TargetMode="External"/><Relationship Id="rId17" Type="http://schemas.openxmlformats.org/officeDocument/2006/relationships/hyperlink" Target="mailto:corp.secretary@bmo.com" TargetMode="External"/><Relationship Id="rId25" Type="http://schemas.openxmlformats.org/officeDocument/2006/relationships/hyperlink" Target="mailto:tom.flynn@bmo.com" TargetMode="External"/><Relationship Id="rId2" Type="http://schemas.openxmlformats.org/officeDocument/2006/relationships/styles" Target="styles.xml"/><Relationship Id="rId16" Type="http://schemas.openxmlformats.org/officeDocument/2006/relationships/hyperlink" Target="http://www.bmo.com/investorrelations" TargetMode="External"/><Relationship Id="rId20" Type="http://schemas.openxmlformats.org/officeDocument/2006/relationships/hyperlink" Target="http://www.bmo.com/investorrelations" TargetMode="External"/><Relationship Id="rId1" Type="http://schemas.openxmlformats.org/officeDocument/2006/relationships/numbering" Target="numbering.xml"/><Relationship Id="rId6" Type="http://schemas.openxmlformats.org/officeDocument/2006/relationships/hyperlink" Target="http://marketwire.com/news_room/stock?ticker=TSX:BMO" TargetMode="External"/><Relationship Id="rId11" Type="http://schemas.openxmlformats.org/officeDocument/2006/relationships/hyperlink" Target="http://www.bmo.com/investorrelations" TargetMode="External"/><Relationship Id="rId24" Type="http://schemas.openxmlformats.org/officeDocument/2006/relationships/hyperlink" Target="mailto:andrew.chin@bmo.com" TargetMode="External"/><Relationship Id="rId5" Type="http://schemas.openxmlformats.org/officeDocument/2006/relationships/webSettings" Target="webSettings.xml"/><Relationship Id="rId15" Type="http://schemas.openxmlformats.org/officeDocument/2006/relationships/hyperlink" Target="http://www.bmo.com/investorrelations" TargetMode="External"/><Relationship Id="rId23" Type="http://schemas.openxmlformats.org/officeDocument/2006/relationships/hyperlink" Target="mailto:sharon.hawardlaird@bmo.com" TargetMode="External"/><Relationship Id="rId28" Type="http://schemas.openxmlformats.org/officeDocument/2006/relationships/theme" Target="theme/theme1.xml"/><Relationship Id="rId10" Type="http://schemas.openxmlformats.org/officeDocument/2006/relationships/hyperlink" Target="http://www.bmo.com/investorrelations" TargetMode="External"/><Relationship Id="rId19" Type="http://schemas.openxmlformats.org/officeDocument/2006/relationships/hyperlink" Target="http://www.bmo.com" TargetMode="External"/><Relationship Id="rId4" Type="http://schemas.openxmlformats.org/officeDocument/2006/relationships/settings" Target="settings.xml"/><Relationship Id="rId9" Type="http://schemas.openxmlformats.org/officeDocument/2006/relationships/hyperlink" Target="http://www.sedar.com" TargetMode="External"/><Relationship Id="rId14" Type="http://schemas.openxmlformats.org/officeDocument/2006/relationships/hyperlink" Target="http://www.bmo.com/investorrelations" TargetMode="External"/><Relationship Id="rId22" Type="http://schemas.openxmlformats.org/officeDocument/2006/relationships/hyperlink" Target="mailto:ronald.monet@bmo.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64</Pages>
  <Words>34996</Words>
  <Characters>199480</Characters>
  <Application>Microsoft Office Word</Application>
  <DocSecurity>4</DocSecurity>
  <Lines>1662</Lines>
  <Paragraphs>468</Paragraphs>
  <ScaleCrop>false</ScaleCrop>
  <HeadingPairs>
    <vt:vector size="2" baseType="variant">
      <vt:variant>
        <vt:lpstr>제목</vt:lpstr>
      </vt:variant>
      <vt:variant>
        <vt:i4>1</vt:i4>
      </vt:variant>
    </vt:vector>
  </HeadingPairs>
  <TitlesOfParts>
    <vt:vector size="1" baseType="lpstr">
      <vt:lpstr/>
    </vt:vector>
  </TitlesOfParts>
  <Company>Marketwire, Inc.</Company>
  <LinksUpToDate>false</LinksUpToDate>
  <CharactersWithSpaces>234008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mcarper</dc:creator>
  <cp:lastModifiedBy>NEWSWIRE</cp:lastModifiedBy>
  <cp:revision>2</cp:revision>
  <dcterms:created xsi:type="dcterms:W3CDTF">2014-05-29T02:21:00Z</dcterms:created>
  <dcterms:modified xsi:type="dcterms:W3CDTF">2014-05-29T02:21:00Z</dcterms:modified>
</cp:coreProperties>
</file>